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EF480" w14:textId="77777777" w:rsidR="00F443E4" w:rsidRDefault="00F443E4">
      <w:pPr>
        <w:jc w:val="both"/>
      </w:pPr>
    </w:p>
    <w:p w14:paraId="30D69C75" w14:textId="77777777" w:rsidR="00F443E4" w:rsidRDefault="00F443E4" w:rsidP="00CD1A7E">
      <w:pPr>
        <w:jc w:val="center"/>
      </w:pPr>
    </w:p>
    <w:p w14:paraId="343CF2B2" w14:textId="6C3AEC9E" w:rsidR="00F443E4" w:rsidRDefault="00000000" w:rsidP="00CD1A7E">
      <w:pPr>
        <w:jc w:val="center"/>
      </w:pPr>
      <w:r>
        <w:rPr>
          <w:b/>
          <w:bCs/>
          <w:color w:val="000000"/>
          <w:sz w:val="28"/>
          <w:szCs w:val="28"/>
        </w:rPr>
        <w:t>Αντιοξειδωτικές, αντιθρομβωτικές και αντιφλεγμονώδεις ιδιότητες αμφιφιλικών βιοδραστικών γάλακτος κατσίκας και κεφίρ τύπου γιαουρτιού</w:t>
      </w:r>
      <w:r w:rsidR="004E5472">
        <w:rPr>
          <w:b/>
          <w:bCs/>
          <w:color w:val="000000"/>
          <w:sz w:val="28"/>
          <w:szCs w:val="28"/>
        </w:rPr>
        <w:t>*</w:t>
      </w:r>
    </w:p>
    <w:p w14:paraId="2137675D" w14:textId="77777777" w:rsidR="00F443E4" w:rsidRDefault="00F443E4">
      <w:pPr>
        <w:jc w:val="both"/>
      </w:pPr>
    </w:p>
    <w:p w14:paraId="65852650" w14:textId="48BE5D9E" w:rsidR="00F443E4" w:rsidRDefault="00CD1A7E">
      <w:pPr>
        <w:jc w:val="center"/>
      </w:pPr>
      <w:r>
        <w:rPr>
          <w:color w:val="000000"/>
        </w:rPr>
        <w:t>ΚΟΥΡΜΑΖΟΥ Ελένη, ΤΣΙΚΟΠΟΥΛΟΥ Ευαγγελία, ΘΑΝΟΥ Αναστασία</w:t>
      </w:r>
      <w:r>
        <w:rPr>
          <w:color w:val="000000"/>
          <w:vertAlign w:val="superscript"/>
        </w:rPr>
        <w:t>1,2</w:t>
      </w:r>
      <w:r>
        <w:rPr>
          <w:color w:val="000000"/>
        </w:rPr>
        <w:t>, ΟΦΡΥΔΟΠΟΥΛΟΥ Άννα</w:t>
      </w:r>
      <w:r>
        <w:rPr>
          <w:color w:val="000000"/>
          <w:vertAlign w:val="superscript"/>
        </w:rPr>
        <w:t>1,2</w:t>
      </w:r>
      <w:r>
        <w:rPr>
          <w:color w:val="000000"/>
        </w:rPr>
        <w:t>, ΠΡΟΚΟΠΙΟΥ Βασίλειος</w:t>
      </w:r>
      <w:r>
        <w:rPr>
          <w:color w:val="000000"/>
          <w:vertAlign w:val="superscript"/>
        </w:rPr>
        <w:t>1,2</w:t>
      </w:r>
      <w:r>
        <w:rPr>
          <w:color w:val="000000"/>
        </w:rPr>
        <w:t>, SHIELS Katie</w:t>
      </w:r>
      <w:r>
        <w:rPr>
          <w:color w:val="000000"/>
          <w:vertAlign w:val="superscript"/>
        </w:rPr>
        <w:t>3</w:t>
      </w:r>
      <w:r>
        <w:rPr>
          <w:color w:val="000000"/>
        </w:rPr>
        <w:t>, ΤΣΟΥΠΡΑΣ Αλέξανδρος</w:t>
      </w:r>
      <w:r>
        <w:rPr>
          <w:color w:val="000000"/>
          <w:vertAlign w:val="superscript"/>
        </w:rPr>
        <w:t>1,2</w:t>
      </w:r>
    </w:p>
    <w:p w14:paraId="7EF207E9" w14:textId="37590F7F" w:rsidR="00CD1A7E" w:rsidRPr="008558DB" w:rsidRDefault="00CD1A7E" w:rsidP="008558DB">
      <w:pPr>
        <w:spacing w:line="276" w:lineRule="auto"/>
        <w:jc w:val="center"/>
        <w:rPr>
          <w:rFonts w:eastAsia="Palatino Linotype"/>
          <w:i/>
          <w:iCs/>
          <w:sz w:val="22"/>
          <w:szCs w:val="22"/>
        </w:rPr>
      </w:pPr>
      <w:r w:rsidRPr="008558DB">
        <w:rPr>
          <w:i/>
          <w:iCs/>
          <w:color w:val="000000"/>
          <w:sz w:val="22"/>
          <w:szCs w:val="22"/>
        </w:rPr>
        <w:t>¹ Εργαστήριο Βιοχημείας, Τμήμα Χημείας, Σχολή Θετικών Επιστημών, Δημοκρίτειο Πανεπιστήμιο Θράκης, Πανεπιστημιούπολη Καβάλας, Καβάλα, Ελλάδα, 65404</w:t>
      </w:r>
      <w:r w:rsidR="008558DB" w:rsidRPr="008558DB">
        <w:rPr>
          <w:i/>
          <w:iCs/>
          <w:color w:val="000000"/>
          <w:sz w:val="22"/>
          <w:szCs w:val="22"/>
        </w:rPr>
        <w:t xml:space="preserve">, </w:t>
      </w:r>
      <w:r w:rsidR="008558DB" w:rsidRPr="008558DB">
        <w:rPr>
          <w:rFonts w:eastAsia="Palatino Linotype"/>
          <w:i/>
          <w:iCs/>
          <w:sz w:val="22"/>
          <w:szCs w:val="22"/>
        </w:rPr>
        <w:t xml:space="preserve">elenkour12@chem.duth.gr, </w:t>
      </w:r>
      <w:r w:rsidR="00886639" w:rsidRPr="00886639">
        <w:rPr>
          <w:rFonts w:eastAsia="Palatino Linotype"/>
          <w:i/>
          <w:iCs/>
          <w:sz w:val="22"/>
          <w:szCs w:val="22"/>
          <w:lang w:val="en-US"/>
        </w:rPr>
        <w:t>evtsiko</w:t>
      </w:r>
      <w:r w:rsidR="00886639" w:rsidRPr="00886639">
        <w:rPr>
          <w:rFonts w:eastAsia="Palatino Linotype"/>
          <w:i/>
          <w:iCs/>
          <w:sz w:val="22"/>
          <w:szCs w:val="22"/>
        </w:rPr>
        <w:t>1@</w:t>
      </w:r>
      <w:r w:rsidR="00886639" w:rsidRPr="00886639">
        <w:rPr>
          <w:rFonts w:eastAsia="Palatino Linotype"/>
          <w:i/>
          <w:iCs/>
          <w:sz w:val="22"/>
          <w:szCs w:val="22"/>
          <w:lang w:val="en-US"/>
        </w:rPr>
        <w:t>chem</w:t>
      </w:r>
      <w:r w:rsidR="00886639" w:rsidRPr="00886639">
        <w:rPr>
          <w:rFonts w:eastAsia="Palatino Linotype"/>
          <w:i/>
          <w:iCs/>
          <w:sz w:val="22"/>
          <w:szCs w:val="22"/>
        </w:rPr>
        <w:t>.</w:t>
      </w:r>
      <w:r w:rsidR="00886639" w:rsidRPr="00886639">
        <w:rPr>
          <w:rFonts w:eastAsia="Palatino Linotype"/>
          <w:i/>
          <w:iCs/>
          <w:sz w:val="22"/>
          <w:szCs w:val="22"/>
          <w:lang w:val="en-US"/>
        </w:rPr>
        <w:t>duth</w:t>
      </w:r>
      <w:r w:rsidR="00886639" w:rsidRPr="00886639">
        <w:rPr>
          <w:rFonts w:eastAsia="Palatino Linotype"/>
          <w:i/>
          <w:iCs/>
          <w:sz w:val="22"/>
          <w:szCs w:val="22"/>
        </w:rPr>
        <w:t>.</w:t>
      </w:r>
      <w:r w:rsidR="00886639" w:rsidRPr="00886639">
        <w:rPr>
          <w:rFonts w:eastAsia="Palatino Linotype"/>
          <w:i/>
          <w:iCs/>
          <w:sz w:val="22"/>
          <w:szCs w:val="22"/>
          <w:lang w:val="en-US"/>
        </w:rPr>
        <w:t>gr</w:t>
      </w:r>
      <w:r w:rsidR="00886639" w:rsidRPr="00886639">
        <w:rPr>
          <w:rFonts w:eastAsia="Palatino Linotype"/>
          <w:i/>
          <w:iCs/>
          <w:sz w:val="22"/>
          <w:szCs w:val="22"/>
        </w:rPr>
        <w:t xml:space="preserve">, </w:t>
      </w:r>
      <w:r w:rsidR="008558DB" w:rsidRPr="008558DB">
        <w:rPr>
          <w:i/>
          <w:iCs/>
          <w:sz w:val="22"/>
          <w:szCs w:val="22"/>
        </w:rPr>
        <w:t xml:space="preserve">anthano@chem.duth.gr, </w:t>
      </w:r>
      <w:r w:rsidR="008558DB" w:rsidRPr="008558DB">
        <w:rPr>
          <w:rFonts w:eastAsia="Palatino Linotype"/>
          <w:i/>
          <w:iCs/>
          <w:sz w:val="22"/>
          <w:szCs w:val="22"/>
        </w:rPr>
        <w:t xml:space="preserve">anofrid@chem.duth.gr, </w:t>
      </w:r>
      <w:r w:rsidR="008558DB" w:rsidRPr="008558DB">
        <w:rPr>
          <w:rFonts w:eastAsia="Palatino Linotype"/>
          <w:i/>
          <w:iCs/>
          <w:sz w:val="22"/>
          <w:szCs w:val="22"/>
          <w:lang w:val="en-US"/>
        </w:rPr>
        <w:t>vprokopi</w:t>
      </w:r>
      <w:r w:rsidR="008558DB" w:rsidRPr="008558DB">
        <w:rPr>
          <w:rFonts w:eastAsia="Palatino Linotype"/>
          <w:i/>
          <w:iCs/>
          <w:sz w:val="22"/>
          <w:szCs w:val="22"/>
        </w:rPr>
        <w:t>@</w:t>
      </w:r>
      <w:r w:rsidR="008558DB" w:rsidRPr="008558DB">
        <w:rPr>
          <w:rFonts w:eastAsia="Palatino Linotype"/>
          <w:i/>
          <w:iCs/>
          <w:sz w:val="22"/>
          <w:szCs w:val="22"/>
          <w:lang w:val="en-US"/>
        </w:rPr>
        <w:t>chem</w:t>
      </w:r>
      <w:r w:rsidR="008558DB" w:rsidRPr="008558DB">
        <w:rPr>
          <w:rFonts w:eastAsia="Palatino Linotype"/>
          <w:i/>
          <w:iCs/>
          <w:sz w:val="22"/>
          <w:szCs w:val="22"/>
        </w:rPr>
        <w:t>.</w:t>
      </w:r>
      <w:r w:rsidR="008558DB" w:rsidRPr="008558DB">
        <w:rPr>
          <w:rFonts w:eastAsia="Palatino Linotype"/>
          <w:i/>
          <w:iCs/>
          <w:sz w:val="22"/>
          <w:szCs w:val="22"/>
          <w:lang w:val="en-US"/>
        </w:rPr>
        <w:t>duth</w:t>
      </w:r>
      <w:r w:rsidR="008558DB" w:rsidRPr="008558DB">
        <w:rPr>
          <w:rFonts w:eastAsia="Palatino Linotype"/>
          <w:i/>
          <w:iCs/>
          <w:sz w:val="22"/>
          <w:szCs w:val="22"/>
        </w:rPr>
        <w:t>.</w:t>
      </w:r>
      <w:r w:rsidR="008558DB" w:rsidRPr="008558DB">
        <w:rPr>
          <w:rFonts w:eastAsia="Palatino Linotype"/>
          <w:i/>
          <w:iCs/>
          <w:sz w:val="22"/>
          <w:szCs w:val="22"/>
          <w:lang w:val="en-US"/>
        </w:rPr>
        <w:t>gr</w:t>
      </w:r>
      <w:r w:rsidR="008558DB" w:rsidRPr="008558DB">
        <w:rPr>
          <w:rFonts w:eastAsia="Palatino Linotype"/>
          <w:i/>
          <w:iCs/>
          <w:sz w:val="22"/>
          <w:szCs w:val="22"/>
        </w:rPr>
        <w:t>, atsoupras@chem.duth.gr</w:t>
      </w:r>
    </w:p>
    <w:p w14:paraId="26267C84" w14:textId="635E3B17" w:rsidR="00CD1A7E" w:rsidRPr="008558DB" w:rsidRDefault="00CD1A7E" w:rsidP="008558DB">
      <w:pPr>
        <w:spacing w:line="276" w:lineRule="auto"/>
        <w:jc w:val="center"/>
        <w:rPr>
          <w:rFonts w:eastAsia="Palatino Linotype"/>
          <w:i/>
          <w:iCs/>
          <w:sz w:val="22"/>
          <w:szCs w:val="22"/>
        </w:rPr>
      </w:pPr>
      <w:r w:rsidRPr="008558DB">
        <w:rPr>
          <w:i/>
          <w:iCs/>
          <w:color w:val="000000"/>
          <w:sz w:val="22"/>
          <w:szCs w:val="22"/>
        </w:rPr>
        <w:t>² Εργαστήριο «Ήφαιστος», Τμήμα Χημείας, Σχολή Θετικών Επιστημών, Δημοκρίτειο Πανεπιστήμιο Θράκης, Πανεπιστημιούπολη Καβάλας, Καβάλα, Ελλάδα, 65404</w:t>
      </w:r>
      <w:r w:rsidR="008558DB" w:rsidRPr="008558DB">
        <w:rPr>
          <w:i/>
          <w:iCs/>
          <w:color w:val="000000"/>
          <w:sz w:val="22"/>
          <w:szCs w:val="22"/>
        </w:rPr>
        <w:t xml:space="preserve">, </w:t>
      </w:r>
      <w:r w:rsidR="008558DB" w:rsidRPr="008558DB">
        <w:rPr>
          <w:rFonts w:eastAsia="Palatino Linotype"/>
          <w:i/>
          <w:iCs/>
          <w:sz w:val="22"/>
          <w:szCs w:val="22"/>
        </w:rPr>
        <w:t xml:space="preserve">elenkour12@chem.duth.gr, </w:t>
      </w:r>
      <w:r w:rsidR="00886639" w:rsidRPr="00886639">
        <w:rPr>
          <w:rFonts w:eastAsia="Palatino Linotype"/>
          <w:i/>
          <w:iCs/>
          <w:sz w:val="22"/>
          <w:szCs w:val="22"/>
          <w:lang w:val="en-US"/>
        </w:rPr>
        <w:t>evtsiko</w:t>
      </w:r>
      <w:r w:rsidR="00886639" w:rsidRPr="00886639">
        <w:rPr>
          <w:rFonts w:eastAsia="Palatino Linotype"/>
          <w:i/>
          <w:iCs/>
          <w:sz w:val="22"/>
          <w:szCs w:val="22"/>
        </w:rPr>
        <w:t>1@</w:t>
      </w:r>
      <w:r w:rsidR="00886639" w:rsidRPr="00886639">
        <w:rPr>
          <w:rFonts w:eastAsia="Palatino Linotype"/>
          <w:i/>
          <w:iCs/>
          <w:sz w:val="22"/>
          <w:szCs w:val="22"/>
          <w:lang w:val="en-US"/>
        </w:rPr>
        <w:t>chem</w:t>
      </w:r>
      <w:r w:rsidR="00886639" w:rsidRPr="00886639">
        <w:rPr>
          <w:rFonts w:eastAsia="Palatino Linotype"/>
          <w:i/>
          <w:iCs/>
          <w:sz w:val="22"/>
          <w:szCs w:val="22"/>
        </w:rPr>
        <w:t>.</w:t>
      </w:r>
      <w:r w:rsidR="00886639" w:rsidRPr="00886639">
        <w:rPr>
          <w:rFonts w:eastAsia="Palatino Linotype"/>
          <w:i/>
          <w:iCs/>
          <w:sz w:val="22"/>
          <w:szCs w:val="22"/>
          <w:lang w:val="en-US"/>
        </w:rPr>
        <w:t>duth</w:t>
      </w:r>
      <w:r w:rsidR="00886639" w:rsidRPr="00886639">
        <w:rPr>
          <w:rFonts w:eastAsia="Palatino Linotype"/>
          <w:i/>
          <w:iCs/>
          <w:sz w:val="22"/>
          <w:szCs w:val="22"/>
        </w:rPr>
        <w:t>.</w:t>
      </w:r>
      <w:r w:rsidR="00886639" w:rsidRPr="00886639">
        <w:rPr>
          <w:rFonts w:eastAsia="Palatino Linotype"/>
          <w:i/>
          <w:iCs/>
          <w:sz w:val="22"/>
          <w:szCs w:val="22"/>
          <w:lang w:val="en-US"/>
        </w:rPr>
        <w:t>gr</w:t>
      </w:r>
      <w:r w:rsidR="00886639" w:rsidRPr="00886639">
        <w:rPr>
          <w:rFonts w:eastAsia="Palatino Linotype"/>
          <w:i/>
          <w:iCs/>
          <w:sz w:val="22"/>
          <w:szCs w:val="22"/>
        </w:rPr>
        <w:t xml:space="preserve">, </w:t>
      </w:r>
      <w:r w:rsidR="008558DB" w:rsidRPr="008558DB">
        <w:rPr>
          <w:i/>
          <w:iCs/>
          <w:sz w:val="22"/>
          <w:szCs w:val="22"/>
        </w:rPr>
        <w:t xml:space="preserve">anthano@chem.duth.gr, </w:t>
      </w:r>
      <w:r w:rsidR="008558DB" w:rsidRPr="008558DB">
        <w:rPr>
          <w:rFonts w:eastAsia="Palatino Linotype"/>
          <w:i/>
          <w:iCs/>
          <w:sz w:val="22"/>
          <w:szCs w:val="22"/>
          <w:lang w:val="en-US"/>
        </w:rPr>
        <w:t>anofrid</w:t>
      </w:r>
      <w:r w:rsidR="008558DB" w:rsidRPr="008558DB">
        <w:rPr>
          <w:rFonts w:eastAsia="Palatino Linotype"/>
          <w:i/>
          <w:iCs/>
          <w:sz w:val="22"/>
          <w:szCs w:val="22"/>
        </w:rPr>
        <w:t>@</w:t>
      </w:r>
      <w:r w:rsidR="008558DB" w:rsidRPr="008558DB">
        <w:rPr>
          <w:rFonts w:eastAsia="Palatino Linotype"/>
          <w:i/>
          <w:iCs/>
          <w:sz w:val="22"/>
          <w:szCs w:val="22"/>
          <w:lang w:val="en-US"/>
        </w:rPr>
        <w:t>chem</w:t>
      </w:r>
      <w:r w:rsidR="008558DB" w:rsidRPr="008558DB">
        <w:rPr>
          <w:rFonts w:eastAsia="Palatino Linotype"/>
          <w:i/>
          <w:iCs/>
          <w:sz w:val="22"/>
          <w:szCs w:val="22"/>
        </w:rPr>
        <w:t>.</w:t>
      </w:r>
      <w:r w:rsidR="008558DB" w:rsidRPr="008558DB">
        <w:rPr>
          <w:rFonts w:eastAsia="Palatino Linotype"/>
          <w:i/>
          <w:iCs/>
          <w:sz w:val="22"/>
          <w:szCs w:val="22"/>
          <w:lang w:val="en-US"/>
        </w:rPr>
        <w:t>duth</w:t>
      </w:r>
      <w:r w:rsidR="008558DB" w:rsidRPr="008558DB">
        <w:rPr>
          <w:rFonts w:eastAsia="Palatino Linotype"/>
          <w:i/>
          <w:iCs/>
          <w:sz w:val="22"/>
          <w:szCs w:val="22"/>
        </w:rPr>
        <w:t>.</w:t>
      </w:r>
      <w:r w:rsidR="008558DB" w:rsidRPr="008558DB">
        <w:rPr>
          <w:rFonts w:eastAsia="Palatino Linotype"/>
          <w:i/>
          <w:iCs/>
          <w:sz w:val="22"/>
          <w:szCs w:val="22"/>
          <w:lang w:val="en-US"/>
        </w:rPr>
        <w:t>gr</w:t>
      </w:r>
      <w:r w:rsidR="008558DB" w:rsidRPr="008558DB">
        <w:rPr>
          <w:rFonts w:eastAsia="Palatino Linotype"/>
          <w:i/>
          <w:iCs/>
          <w:sz w:val="22"/>
          <w:szCs w:val="22"/>
        </w:rPr>
        <w:t xml:space="preserve">, </w:t>
      </w:r>
      <w:r w:rsidR="008558DB" w:rsidRPr="008558DB">
        <w:rPr>
          <w:rFonts w:eastAsia="Palatino Linotype"/>
          <w:i/>
          <w:iCs/>
          <w:sz w:val="22"/>
          <w:szCs w:val="22"/>
          <w:lang w:val="en-US"/>
        </w:rPr>
        <w:t>vprokopi</w:t>
      </w:r>
      <w:r w:rsidR="008558DB" w:rsidRPr="008558DB">
        <w:rPr>
          <w:rFonts w:eastAsia="Palatino Linotype"/>
          <w:i/>
          <w:iCs/>
          <w:sz w:val="22"/>
          <w:szCs w:val="22"/>
        </w:rPr>
        <w:t>@</w:t>
      </w:r>
      <w:r w:rsidR="008558DB" w:rsidRPr="008558DB">
        <w:rPr>
          <w:rFonts w:eastAsia="Palatino Linotype"/>
          <w:i/>
          <w:iCs/>
          <w:sz w:val="22"/>
          <w:szCs w:val="22"/>
          <w:lang w:val="en-US"/>
        </w:rPr>
        <w:t>chem</w:t>
      </w:r>
      <w:r w:rsidR="008558DB" w:rsidRPr="008558DB">
        <w:rPr>
          <w:rFonts w:eastAsia="Palatino Linotype"/>
          <w:i/>
          <w:iCs/>
          <w:sz w:val="22"/>
          <w:szCs w:val="22"/>
        </w:rPr>
        <w:t>.</w:t>
      </w:r>
      <w:r w:rsidR="008558DB" w:rsidRPr="008558DB">
        <w:rPr>
          <w:rFonts w:eastAsia="Palatino Linotype"/>
          <w:i/>
          <w:iCs/>
          <w:sz w:val="22"/>
          <w:szCs w:val="22"/>
          <w:lang w:val="en-US"/>
        </w:rPr>
        <w:t>duth</w:t>
      </w:r>
      <w:r w:rsidR="008558DB" w:rsidRPr="008558DB">
        <w:rPr>
          <w:rFonts w:eastAsia="Palatino Linotype"/>
          <w:i/>
          <w:iCs/>
          <w:sz w:val="22"/>
          <w:szCs w:val="22"/>
        </w:rPr>
        <w:t>.</w:t>
      </w:r>
      <w:r w:rsidR="008558DB" w:rsidRPr="008558DB">
        <w:rPr>
          <w:rFonts w:eastAsia="Palatino Linotype"/>
          <w:i/>
          <w:iCs/>
          <w:sz w:val="22"/>
          <w:szCs w:val="22"/>
          <w:lang w:val="en-US"/>
        </w:rPr>
        <w:t>gr</w:t>
      </w:r>
      <w:r w:rsidR="008558DB" w:rsidRPr="008558DB">
        <w:rPr>
          <w:rFonts w:eastAsia="Palatino Linotype"/>
          <w:i/>
          <w:iCs/>
          <w:sz w:val="22"/>
          <w:szCs w:val="22"/>
        </w:rPr>
        <w:t xml:space="preserve">, </w:t>
      </w:r>
      <w:r w:rsidR="008558DB" w:rsidRPr="008558DB">
        <w:rPr>
          <w:rFonts w:eastAsia="Palatino Linotype"/>
          <w:i/>
          <w:iCs/>
          <w:sz w:val="22"/>
          <w:szCs w:val="22"/>
          <w:lang w:val="en-US"/>
        </w:rPr>
        <w:t>atsoupras</w:t>
      </w:r>
      <w:r w:rsidR="008558DB" w:rsidRPr="008558DB">
        <w:rPr>
          <w:rFonts w:eastAsia="Palatino Linotype"/>
          <w:i/>
          <w:iCs/>
          <w:sz w:val="22"/>
          <w:szCs w:val="22"/>
        </w:rPr>
        <w:t>@</w:t>
      </w:r>
      <w:r w:rsidR="008558DB" w:rsidRPr="008558DB">
        <w:rPr>
          <w:rFonts w:eastAsia="Palatino Linotype"/>
          <w:i/>
          <w:iCs/>
          <w:sz w:val="22"/>
          <w:szCs w:val="22"/>
          <w:lang w:val="en-US"/>
        </w:rPr>
        <w:t>chem</w:t>
      </w:r>
      <w:r w:rsidR="008558DB" w:rsidRPr="008558DB">
        <w:rPr>
          <w:rFonts w:eastAsia="Palatino Linotype"/>
          <w:i/>
          <w:iCs/>
          <w:sz w:val="22"/>
          <w:szCs w:val="22"/>
        </w:rPr>
        <w:t>.</w:t>
      </w:r>
      <w:r w:rsidR="008558DB" w:rsidRPr="008558DB">
        <w:rPr>
          <w:rFonts w:eastAsia="Palatino Linotype"/>
          <w:i/>
          <w:iCs/>
          <w:sz w:val="22"/>
          <w:szCs w:val="22"/>
          <w:lang w:val="en-US"/>
        </w:rPr>
        <w:t>duth</w:t>
      </w:r>
      <w:r w:rsidR="008558DB" w:rsidRPr="008558DB">
        <w:rPr>
          <w:rFonts w:eastAsia="Palatino Linotype"/>
          <w:i/>
          <w:iCs/>
          <w:sz w:val="22"/>
          <w:szCs w:val="22"/>
        </w:rPr>
        <w:t>.</w:t>
      </w:r>
      <w:r w:rsidR="008558DB" w:rsidRPr="008558DB">
        <w:rPr>
          <w:rFonts w:eastAsia="Palatino Linotype"/>
          <w:i/>
          <w:iCs/>
          <w:sz w:val="22"/>
          <w:szCs w:val="22"/>
          <w:lang w:val="en-US"/>
        </w:rPr>
        <w:t>gr</w:t>
      </w:r>
    </w:p>
    <w:p w14:paraId="2D83ABFF" w14:textId="7B9B5F8C" w:rsidR="00CD1A7E" w:rsidRPr="008558DB" w:rsidRDefault="00CD1A7E" w:rsidP="008558DB">
      <w:pPr>
        <w:jc w:val="center"/>
        <w:rPr>
          <w:i/>
          <w:iCs/>
          <w:color w:val="000000"/>
          <w:sz w:val="22"/>
          <w:szCs w:val="22"/>
        </w:rPr>
      </w:pPr>
      <w:r w:rsidRPr="008558DB">
        <w:rPr>
          <w:i/>
          <w:iCs/>
          <w:color w:val="000000"/>
          <w:sz w:val="22"/>
          <w:szCs w:val="22"/>
        </w:rPr>
        <w:t>³ Κέντρο Εφαρμοσμένης Έρευνας Βιοεπιστημών, Τεχνολογικό Πανεπιστήμιο Σάννον, Λίμερικ, Ιρλανδία</w:t>
      </w:r>
      <w:r w:rsidR="008558DB" w:rsidRPr="008558DB">
        <w:rPr>
          <w:i/>
          <w:iCs/>
          <w:color w:val="000000"/>
          <w:sz w:val="22"/>
          <w:szCs w:val="22"/>
        </w:rPr>
        <w:t xml:space="preserve">, </w:t>
      </w:r>
      <w:r w:rsidR="008558DB" w:rsidRPr="008558DB">
        <w:rPr>
          <w:i/>
          <w:iCs/>
          <w:color w:val="000000"/>
          <w:sz w:val="22"/>
          <w:szCs w:val="22"/>
          <w:lang w:val="en-US"/>
        </w:rPr>
        <w:t>katie</w:t>
      </w:r>
      <w:r w:rsidR="008558DB" w:rsidRPr="008558DB">
        <w:rPr>
          <w:i/>
          <w:iCs/>
          <w:color w:val="000000"/>
          <w:sz w:val="22"/>
          <w:szCs w:val="22"/>
        </w:rPr>
        <w:t>.</w:t>
      </w:r>
      <w:r w:rsidR="008558DB" w:rsidRPr="008558DB">
        <w:rPr>
          <w:i/>
          <w:iCs/>
          <w:color w:val="000000"/>
          <w:sz w:val="22"/>
          <w:szCs w:val="22"/>
          <w:lang w:val="en-US"/>
        </w:rPr>
        <w:t>shiels</w:t>
      </w:r>
      <w:r w:rsidR="008558DB" w:rsidRPr="008558DB">
        <w:rPr>
          <w:i/>
          <w:iCs/>
          <w:color w:val="000000"/>
          <w:sz w:val="22"/>
          <w:szCs w:val="22"/>
        </w:rPr>
        <w:t>@</w:t>
      </w:r>
      <w:r w:rsidR="008558DB" w:rsidRPr="008558DB">
        <w:rPr>
          <w:i/>
          <w:iCs/>
          <w:color w:val="000000"/>
          <w:sz w:val="22"/>
          <w:szCs w:val="22"/>
          <w:lang w:val="en-US"/>
        </w:rPr>
        <w:t>tus</w:t>
      </w:r>
      <w:r w:rsidR="008558DB" w:rsidRPr="008558DB">
        <w:rPr>
          <w:i/>
          <w:iCs/>
          <w:color w:val="000000"/>
          <w:sz w:val="22"/>
          <w:szCs w:val="22"/>
        </w:rPr>
        <w:t>.</w:t>
      </w:r>
      <w:r w:rsidR="008558DB" w:rsidRPr="008558DB">
        <w:rPr>
          <w:i/>
          <w:iCs/>
          <w:color w:val="000000"/>
          <w:sz w:val="22"/>
          <w:szCs w:val="22"/>
          <w:lang w:val="en-US"/>
        </w:rPr>
        <w:t>ie</w:t>
      </w:r>
    </w:p>
    <w:p w14:paraId="0C3FF5D9" w14:textId="249D7C82" w:rsidR="00F443E4" w:rsidRDefault="00F443E4">
      <w:pPr>
        <w:jc w:val="center"/>
      </w:pPr>
    </w:p>
    <w:p w14:paraId="0CC75064" w14:textId="77777777" w:rsidR="00F443E4" w:rsidRDefault="00F443E4">
      <w:pPr>
        <w:jc w:val="both"/>
      </w:pPr>
    </w:p>
    <w:p w14:paraId="5563B58A" w14:textId="77777777" w:rsidR="00F443E4" w:rsidRDefault="00F443E4">
      <w:pPr>
        <w:jc w:val="both"/>
      </w:pPr>
    </w:p>
    <w:p w14:paraId="6D384539" w14:textId="77777777" w:rsidR="00F443E4" w:rsidRPr="00BF1AFA" w:rsidRDefault="00000000" w:rsidP="00BF1AFA">
      <w:pPr>
        <w:pStyle w:val="aa"/>
        <w:rPr>
          <w:rFonts w:ascii="Times New Roman" w:hAnsi="Times New Roman" w:cs="Times New Roman"/>
          <w:b/>
          <w:bCs/>
          <w:color w:val="auto"/>
          <w:sz w:val="24"/>
          <w:szCs w:val="24"/>
        </w:rPr>
      </w:pPr>
      <w:r w:rsidRPr="00BF1AFA">
        <w:rPr>
          <w:rFonts w:ascii="Times New Roman" w:eastAsia="Times New Roman" w:hAnsi="Times New Roman" w:cs="Times New Roman"/>
          <w:b/>
          <w:bCs/>
          <w:color w:val="auto"/>
          <w:sz w:val="24"/>
          <w:szCs w:val="24"/>
        </w:rPr>
        <w:t>Περίληψη</w:t>
      </w:r>
    </w:p>
    <w:p w14:paraId="22C49099" w14:textId="4A690275" w:rsidR="00F443E4" w:rsidRDefault="00000000">
      <w:pPr>
        <w:jc w:val="both"/>
      </w:pPr>
      <w:r>
        <w:rPr>
          <w:color w:val="000000"/>
        </w:rPr>
        <w:t>Το γάλα κατσίκας και τα προϊόντα κεφίρ προσελκύουν ενδιαφέρον ως φυσικές πηγές βιοδραστικών συστατικών. Αξιολογήθηκαν η χημική σύσταση, η αντιοξειδωτική</w:t>
      </w:r>
      <w:r w:rsidR="002E7550">
        <w:rPr>
          <w:color w:val="000000"/>
        </w:rPr>
        <w:t>, η αντιφλεγμονώδης και η αντιθρομβωτική</w:t>
      </w:r>
      <w:r>
        <w:rPr>
          <w:color w:val="000000"/>
        </w:rPr>
        <w:t xml:space="preserve"> δράση των αμφιφιλικών (TAC) και λιπόφιλων (TLC) κλασμάτων γάλακτος κατσίκας και εμπορικού προϊόντος κεφίρ τύπου γιαουρτιού. Τα TAC χαρακτηρίστηκαν με ATR-FTIR και LC-MS. Η αντιοξειδωτική δράση μετρήθηκε με DPPH και ABTS και οι δράσεις αντι-PAF και </w:t>
      </w:r>
      <w:r w:rsidR="002E7550">
        <w:rPr>
          <w:color w:val="000000"/>
        </w:rPr>
        <w:t>αντι-</w:t>
      </w:r>
      <w:r w:rsidR="002E7550">
        <w:rPr>
          <w:color w:val="000000"/>
          <w:lang w:val="en-US"/>
        </w:rPr>
        <w:t>ADP</w:t>
      </w:r>
      <w:r>
        <w:rPr>
          <w:color w:val="000000"/>
        </w:rPr>
        <w:t xml:space="preserve"> με συσσωματομετρία σε ανθρώπινο πλάσμα πλούσιο σε αιμοπετάλια (PAF, ADP). Τα TAC έδειξαν υψηλότερες αντιοξειδωτικές αποκρίσεις και ισχυρότερη αναστολή της συσσώρευσης αιμοπεταλίων από τα TLC (p&lt;0,05). Το TAC του κεφίρ ήταν το ισχυρότερο έναντι του PAF, ενώ έναντι της ADP τα δύο TAC ήταν συγκρίσιμα. Τα ευρήματα στηρίζουν περαιτέρω διερεύνηση ως πηγών βιοδραστικών για λειτουργικά τρόφιμα.</w:t>
      </w:r>
    </w:p>
    <w:p w14:paraId="69EBFED8" w14:textId="77777777" w:rsidR="00F443E4" w:rsidRDefault="00F443E4">
      <w:pPr>
        <w:jc w:val="both"/>
      </w:pPr>
    </w:p>
    <w:p w14:paraId="1D9C8654" w14:textId="77777777" w:rsidR="00F443E4" w:rsidRPr="00A92AA7" w:rsidRDefault="00000000" w:rsidP="00A92AA7">
      <w:pPr>
        <w:pStyle w:val="aa"/>
        <w:rPr>
          <w:rFonts w:ascii="Times New Roman" w:hAnsi="Times New Roman" w:cs="Times New Roman"/>
          <w:b/>
          <w:bCs/>
          <w:color w:val="auto"/>
          <w:sz w:val="24"/>
          <w:szCs w:val="24"/>
        </w:rPr>
      </w:pPr>
      <w:r w:rsidRPr="00A92AA7">
        <w:rPr>
          <w:rFonts w:ascii="Times New Roman" w:eastAsia="Times New Roman" w:hAnsi="Times New Roman" w:cs="Times New Roman"/>
          <w:b/>
          <w:bCs/>
          <w:color w:val="auto"/>
          <w:sz w:val="24"/>
          <w:szCs w:val="24"/>
        </w:rPr>
        <w:t>Λέξεις-κλειδιά:</w:t>
      </w:r>
    </w:p>
    <w:p w14:paraId="18DA0089" w14:textId="0ACE22E5" w:rsidR="00F443E4" w:rsidRDefault="00000000">
      <w:r>
        <w:rPr>
          <w:color w:val="000000"/>
        </w:rPr>
        <w:t>γάλα κατσίκας, κεφίρ, αμφιφιλικά βιοδραστικά, αντι-PAF, αντι</w:t>
      </w:r>
      <w:r w:rsidR="001D3006">
        <w:rPr>
          <w:color w:val="000000"/>
        </w:rPr>
        <w:t>φλεγμονώδης</w:t>
      </w:r>
      <w:r>
        <w:rPr>
          <w:color w:val="000000"/>
        </w:rPr>
        <w:t xml:space="preserve"> δράση</w:t>
      </w:r>
    </w:p>
    <w:p w14:paraId="7E534E33" w14:textId="77777777" w:rsidR="00F443E4" w:rsidRDefault="00F443E4">
      <w:pPr>
        <w:jc w:val="both"/>
      </w:pPr>
    </w:p>
    <w:p w14:paraId="5CEBF0D6" w14:textId="77777777" w:rsidR="00F443E4" w:rsidRDefault="00F443E4">
      <w:pPr>
        <w:jc w:val="both"/>
      </w:pPr>
    </w:p>
    <w:p w14:paraId="5F71BF00" w14:textId="4D26DA61" w:rsidR="00F443E4" w:rsidRPr="00A92AA7" w:rsidRDefault="00000000" w:rsidP="00A92AA7">
      <w:pPr>
        <w:pStyle w:val="aa"/>
        <w:rPr>
          <w:rFonts w:ascii="Times New Roman" w:hAnsi="Times New Roman" w:cs="Times New Roman"/>
          <w:b/>
          <w:bCs/>
          <w:color w:val="auto"/>
          <w:sz w:val="24"/>
          <w:szCs w:val="24"/>
        </w:rPr>
      </w:pPr>
      <w:r w:rsidRPr="00A92AA7">
        <w:rPr>
          <w:rFonts w:ascii="Times New Roman" w:eastAsia="Times New Roman" w:hAnsi="Times New Roman" w:cs="Times New Roman"/>
          <w:b/>
          <w:bCs/>
          <w:color w:val="auto"/>
          <w:sz w:val="24"/>
          <w:szCs w:val="24"/>
        </w:rPr>
        <w:t>Εισαγωγή</w:t>
      </w:r>
    </w:p>
    <w:p w14:paraId="29B94861" w14:textId="77777777" w:rsidR="00F443E4" w:rsidRDefault="00000000">
      <w:pPr>
        <w:jc w:val="both"/>
      </w:pPr>
      <w:r>
        <w:rPr>
          <w:color w:val="000000"/>
        </w:rPr>
        <w:t>Το κεφίρ θεωρείται λειτουργικό τρόφιμο, με αντιοξειδωτικές, αντιφλεγμονώδεις και αντιθρομβωτικές δράσεις που αποδίδονται στους μεταβολίτες της ζύμωσης (Papadopoulou et al. 2025). Τα πολικά λιπίδια του γάλακτος σχετίζονται με αναστολή της ενεργοποίησης των αιμοπεταλίων (Anto et al. 2020, Lordan et al. 2020, Poutzalis et al. 2016), όμως οι αμφιφιλικές και λιπόφιλες ενώσεις του γάλακτος κατσίκας και των προϊόντων κεφίρ δεν έχουν χαρακτηριστεί επαρκώς. Σκοπός ήταν η παράλληλη αξιολόγηση των κλασμάτων TAC και TLC γάλακτος κατσίκας και προϊόντος κεφίρ τύπου γιαουρτιού.</w:t>
      </w:r>
    </w:p>
    <w:p w14:paraId="30567B83" w14:textId="77777777" w:rsidR="00A92AA7" w:rsidRDefault="00A92AA7">
      <w:pPr>
        <w:rPr>
          <w:b/>
          <w:bCs/>
          <w:color w:val="000000"/>
        </w:rPr>
      </w:pPr>
    </w:p>
    <w:p w14:paraId="1370A307" w14:textId="00CD11C8" w:rsidR="00F443E4" w:rsidRPr="00A92AA7" w:rsidRDefault="00000000" w:rsidP="00A92AA7">
      <w:pPr>
        <w:pStyle w:val="aa"/>
        <w:rPr>
          <w:rFonts w:ascii="Times New Roman" w:hAnsi="Times New Roman" w:cs="Times New Roman"/>
          <w:b/>
          <w:bCs/>
          <w:color w:val="auto"/>
          <w:sz w:val="24"/>
          <w:szCs w:val="24"/>
        </w:rPr>
      </w:pPr>
      <w:r w:rsidRPr="00A92AA7">
        <w:rPr>
          <w:rFonts w:ascii="Times New Roman" w:eastAsia="Times New Roman" w:hAnsi="Times New Roman" w:cs="Times New Roman"/>
          <w:b/>
          <w:bCs/>
          <w:color w:val="auto"/>
          <w:sz w:val="24"/>
          <w:szCs w:val="24"/>
        </w:rPr>
        <w:lastRenderedPageBreak/>
        <w:t>Μέθοδοι</w:t>
      </w:r>
    </w:p>
    <w:p w14:paraId="632B0A0C" w14:textId="77777777" w:rsidR="00F443E4" w:rsidRDefault="00000000">
      <w:pPr>
        <w:jc w:val="both"/>
      </w:pPr>
      <w:r>
        <w:rPr>
          <w:color w:val="000000"/>
        </w:rPr>
        <w:t>Η εκχύλιση έγινε με τροποποιημένη μέθοδο Bligh και Dyer και ο διαχωρισμός σε TAC και TLC με κατανομή αντιρροής, σε τρία αντίγραφα ανά προϊόν (Koutis et al. 2026). Τα φαινολικά και τα καροτενοειδή προσδιορίστηκαν φασματοφωτομετρικά και τα TAC αναλύθηκαν με ATR-FTIR και LC-MS πριν και μετά από σαπωνοποίηση. Η αντιοξειδωτική δράση προσδιορίστηκε με DPPH και ABTS. Οι δράσεις αντι-PAF και αντιαιμοπεταλιακή (ADP) μελετήθηκαν σε πλάσμα πλούσιο σε αιμοπετάλια έξι υγιών δοτών και εκφράστηκαν ως IC50 (μg ξηρού εκχυλίσματος) (Kosidou et al. 2025). Η στατιστική ανάλυση περιλάμβανε ANOVA ή Kruskal–Wallis (p&lt;0,05).</w:t>
      </w:r>
    </w:p>
    <w:p w14:paraId="052D6BA5" w14:textId="77777777" w:rsidR="00F443E4" w:rsidRDefault="00F443E4">
      <w:pPr>
        <w:jc w:val="both"/>
      </w:pPr>
    </w:p>
    <w:p w14:paraId="71D68A33" w14:textId="562FDA2E" w:rsidR="00F443E4" w:rsidRPr="00A92AA7" w:rsidRDefault="00000000" w:rsidP="00A92AA7">
      <w:pPr>
        <w:pStyle w:val="aa"/>
        <w:rPr>
          <w:rFonts w:ascii="Times New Roman" w:hAnsi="Times New Roman" w:cs="Times New Roman"/>
          <w:b/>
          <w:bCs/>
          <w:color w:val="auto"/>
          <w:sz w:val="24"/>
          <w:szCs w:val="24"/>
        </w:rPr>
      </w:pPr>
      <w:r w:rsidRPr="00A92AA7">
        <w:rPr>
          <w:rFonts w:ascii="Times New Roman" w:eastAsia="Times New Roman" w:hAnsi="Times New Roman" w:cs="Times New Roman"/>
          <w:b/>
          <w:bCs/>
          <w:color w:val="auto"/>
          <w:sz w:val="24"/>
          <w:szCs w:val="24"/>
        </w:rPr>
        <w:t>Αποτελέσματα</w:t>
      </w:r>
    </w:p>
    <w:p w14:paraId="4E80AC81" w14:textId="77777777" w:rsidR="00F443E4" w:rsidRDefault="00000000">
      <w:pPr>
        <w:jc w:val="both"/>
      </w:pPr>
      <w:r>
        <w:rPr>
          <w:color w:val="000000"/>
        </w:rPr>
        <w:t>Οι αποδόσεις δεν διέφεραν σημαντικά (p=0,137): TAC 5,18% (γάλα) και 6,29% (κεφίρ), TLC 9,98% και 7,33%. Τα καροτενοειδή ήταν περισσότερα στο TAC γάλακτος (p=0,033), ενώ τα φαινολικά δεν ανιχνεύθηκαν στα TAC. Τα TAC είχαν υψηλότερες τιμές ABTS (p=0,038) και DPPH από τα TLC, όμως οι διαφορές στο DPPH δεν παρέμειναν σημαντικές μετά από διόρθωση για πολλαπλές συγκρίσεις. Η ATR-FTIR έδειξε ομάδες συμβατές με λιπίδια, υδροξύλια, υδατάνθρακες και φωσφορικές ομάδες πολικών λιπιδίων. Στη LC-MS, μετά τη σαπωνοποίηση κυριάρχησαν τα κορεσμένα λιπαρά οξέα (96,4–96,5%) με n-6/n-3 1,47 και 1,49· στα ελεύθερα λιπαρά οξέα ο λόγος ήταν 0,14.</w:t>
      </w:r>
    </w:p>
    <w:p w14:paraId="3966B2F2" w14:textId="77777777" w:rsidR="00F443E4" w:rsidRDefault="00F443E4">
      <w:pPr>
        <w:jc w:val="both"/>
      </w:pPr>
    </w:p>
    <w:p w14:paraId="33EBBED6" w14:textId="307D9CD3" w:rsidR="00F443E4" w:rsidRDefault="00985059">
      <w:pPr>
        <w:jc w:val="both"/>
      </w:pPr>
      <w:r>
        <w:rPr>
          <w:color w:val="000000"/>
        </w:rPr>
        <w:t>Έναντι του PAF και της ADP τα TAC είχαν σημαντικά χαμηλότερες τιμές IC50 από τα TLC (p&lt;0,05). Το TAC του κεφίρ ήταν σημαντικά ισχυρότερο από το TAC του γάλακτος έναντι του PAF (p&lt;0,05), ενώ έναντι της ADP τα δύο TAC ήταν συγκρίσιμα.</w:t>
      </w:r>
    </w:p>
    <w:p w14:paraId="16E43CF9" w14:textId="0AB7563F" w:rsidR="00F443E4" w:rsidRDefault="00F443E4" w:rsidP="00985059"/>
    <w:p w14:paraId="276688D3" w14:textId="04D1FD38" w:rsidR="00F443E4" w:rsidRPr="00A92AA7" w:rsidRDefault="00000000" w:rsidP="00A92AA7">
      <w:pPr>
        <w:pStyle w:val="aa"/>
        <w:rPr>
          <w:rFonts w:ascii="Times New Roman" w:hAnsi="Times New Roman" w:cs="Times New Roman"/>
          <w:b/>
          <w:bCs/>
          <w:color w:val="auto"/>
          <w:sz w:val="24"/>
          <w:szCs w:val="24"/>
        </w:rPr>
      </w:pPr>
      <w:r w:rsidRPr="00A92AA7">
        <w:rPr>
          <w:rFonts w:ascii="Times New Roman" w:eastAsia="Times New Roman" w:hAnsi="Times New Roman" w:cs="Times New Roman"/>
          <w:b/>
          <w:bCs/>
          <w:color w:val="auto"/>
          <w:sz w:val="24"/>
          <w:szCs w:val="24"/>
        </w:rPr>
        <w:t>Συμπεράσματα</w:t>
      </w:r>
    </w:p>
    <w:p w14:paraId="239BCBD0" w14:textId="77777777" w:rsidR="00F443E4" w:rsidRDefault="00000000">
      <w:pPr>
        <w:jc w:val="both"/>
        <w:rPr>
          <w:color w:val="000000"/>
        </w:rPr>
      </w:pPr>
      <w:r>
        <w:rPr>
          <w:color w:val="000000"/>
        </w:rPr>
        <w:t>Τα κλάσματα TAC του γάλακτος κατσίκας και του κεφίρ τύπου γιαουρτιού, χημικά ετερογενή μίγματα αμφιφιλικών συστατικών, εμφάνισαν αντιοξειδωτική, αντι-PAF και αντιαιμοπεταλιακή δράση ισχυρότερη από τα TLC, με την ισχυρότερη δράση αντι-PAF στο προϊόν κεφίρ. Τα αποτελέσματα προέρχονται από in vitro και ex vivo μοντέλα και στηρίζουν περαιτέρω λιπιδωμική και in vivo διερεύνηση για την ανάπτυξη λειτουργικών τροφίμων.</w:t>
      </w:r>
    </w:p>
    <w:p w14:paraId="50FEDA35" w14:textId="77777777" w:rsidR="004601F0" w:rsidRDefault="004601F0">
      <w:pPr>
        <w:jc w:val="both"/>
        <w:rPr>
          <w:color w:val="000000"/>
        </w:rPr>
      </w:pPr>
    </w:p>
    <w:p w14:paraId="6D04D0CD" w14:textId="75A4FD70" w:rsidR="004601F0" w:rsidRDefault="004601F0">
      <w:pPr>
        <w:jc w:val="both"/>
      </w:pPr>
      <w:r w:rsidRPr="004601F0">
        <w:rPr>
          <w:i/>
          <w:iCs/>
        </w:rPr>
        <w:t>*Η μελέτη χρηματοδοτήθηκε από τη «Δράση RSO1.1a: Ενίσχυση επιχειρήσεων της Περιφέρειας Ανατολικής Μακεδονίας και Θράκης για έρευνα και καινοτομία» στο πλαίσιο του Προγράμματος «Ανατολική Μακεδονία, Θράκη 2021–2027» (Κωδικός MIS 14726), Κωδικός Χρηματοδότησης 6056339, Ακρωνύμιο (BIO-</w:t>
      </w:r>
      <w:r w:rsidRPr="004601F0">
        <w:rPr>
          <w:i/>
          <w:iCs/>
          <w:lang w:val="en-US"/>
        </w:rPr>
        <w:t>MILK</w:t>
      </w:r>
      <w:r w:rsidRPr="004601F0">
        <w:rPr>
          <w:i/>
          <w:iCs/>
        </w:rPr>
        <w:t xml:space="preserve">) και Κωδικό ΕΛΚΕ KE-83811, και πραγματοποιήθηκε σύμφωνα με τη Διακήρυξη του Ελσίνκι, όπως εγκρίθηκε από την Επιτροπή Ηθικής και Δεοντολογίας του Δημοκριτείου Πανεπιστημίου Θράκης (κωδικός πρωτοκόλλου ΔΠΘ/ΕHΔΕ/7690/70/27-9-2024 όπως επικαιροποιήθηκε από ΔΠΘ/ΕHΔΕ/73216/640/24-6-2026. Οι συγγραφείς θα ήθελαν να ευχαριστήσουν το Τμήμα Χημείας της Σχολής Θετικών Επιστημών του Δημοκριτείου Πανεπιστημίου Θράκης, το Γενικό Νοσοκομείο Καβάλας και το Technological University of the Shannon, </w:t>
      </w:r>
      <w:r w:rsidRPr="004601F0">
        <w:rPr>
          <w:i/>
          <w:iCs/>
          <w:lang w:val="en-US"/>
        </w:rPr>
        <w:t>Limerick</w:t>
      </w:r>
      <w:r w:rsidRPr="004601F0">
        <w:rPr>
          <w:i/>
          <w:iCs/>
        </w:rPr>
        <w:t xml:space="preserve">, </w:t>
      </w:r>
      <w:r w:rsidRPr="004601F0">
        <w:rPr>
          <w:i/>
          <w:iCs/>
          <w:lang w:val="en-US"/>
        </w:rPr>
        <w:t>Ireland</w:t>
      </w:r>
      <w:r w:rsidRPr="004601F0">
        <w:rPr>
          <w:i/>
          <w:iCs/>
        </w:rPr>
        <w:t xml:space="preserve"> για τη συνεχή υποστήριξή τους.</w:t>
      </w:r>
    </w:p>
    <w:p w14:paraId="2AE6B724" w14:textId="77777777" w:rsidR="00F443E4" w:rsidRDefault="00F443E4">
      <w:pPr>
        <w:jc w:val="both"/>
      </w:pPr>
    </w:p>
    <w:p w14:paraId="700CABFA" w14:textId="77777777" w:rsidR="00F443E4" w:rsidRPr="00A92AA7" w:rsidRDefault="00000000" w:rsidP="00A92AA7">
      <w:pPr>
        <w:pStyle w:val="aa"/>
        <w:rPr>
          <w:rFonts w:ascii="Times New Roman" w:hAnsi="Times New Roman" w:cs="Times New Roman"/>
          <w:b/>
          <w:bCs/>
          <w:color w:val="auto"/>
          <w:sz w:val="24"/>
          <w:szCs w:val="24"/>
          <w:lang w:val="en-US"/>
        </w:rPr>
      </w:pPr>
      <w:r w:rsidRPr="00A92AA7">
        <w:rPr>
          <w:rFonts w:ascii="Times New Roman" w:eastAsia="Times New Roman" w:hAnsi="Times New Roman" w:cs="Times New Roman"/>
          <w:b/>
          <w:bCs/>
          <w:color w:val="auto"/>
          <w:sz w:val="24"/>
          <w:szCs w:val="24"/>
        </w:rPr>
        <w:t>Βιβλιογραφία</w:t>
      </w:r>
    </w:p>
    <w:p w14:paraId="312E9619" w14:textId="77777777" w:rsidR="00F443E4" w:rsidRPr="00CD1A7E" w:rsidRDefault="00F443E4">
      <w:pPr>
        <w:jc w:val="both"/>
        <w:rPr>
          <w:lang w:val="en-US"/>
        </w:rPr>
      </w:pPr>
    </w:p>
    <w:p w14:paraId="634115B8" w14:textId="77777777" w:rsidR="00F443E4" w:rsidRPr="00CD1A7E" w:rsidRDefault="00000000">
      <w:pPr>
        <w:ind w:left="567" w:hanging="567"/>
        <w:jc w:val="both"/>
        <w:rPr>
          <w:lang w:val="en-US"/>
        </w:rPr>
      </w:pPr>
      <w:r w:rsidRPr="00CD1A7E">
        <w:rPr>
          <w:color w:val="000000"/>
          <w:lang w:val="en-US"/>
        </w:rPr>
        <w:t xml:space="preserve">Anto, L., Warykas, S.W., Torres-Gonzalez, M. &amp; Blesso, C.N. (2020). Milk polar lipids: Underappreciated lipids with emerging health benefits. </w:t>
      </w:r>
      <w:r w:rsidRPr="00DB5FB2">
        <w:rPr>
          <w:i/>
          <w:iCs/>
          <w:color w:val="000000"/>
          <w:lang w:val="en-US"/>
        </w:rPr>
        <w:t>Nutrients</w:t>
      </w:r>
      <w:r w:rsidRPr="00CD1A7E">
        <w:rPr>
          <w:color w:val="000000"/>
          <w:lang w:val="en-US"/>
        </w:rPr>
        <w:t>, 12, 1001.</w:t>
      </w:r>
    </w:p>
    <w:p w14:paraId="52EB2F79" w14:textId="77777777" w:rsidR="00F443E4" w:rsidRPr="00CD1A7E" w:rsidRDefault="00000000">
      <w:pPr>
        <w:ind w:left="567" w:hanging="567"/>
        <w:jc w:val="both"/>
        <w:rPr>
          <w:lang w:val="en-US"/>
        </w:rPr>
      </w:pPr>
      <w:r w:rsidRPr="00CD1A7E">
        <w:rPr>
          <w:color w:val="000000"/>
          <w:lang w:val="en-US"/>
        </w:rPr>
        <w:lastRenderedPageBreak/>
        <w:t xml:space="preserve">Kosidou, S., Zannas, Z., Ofrydopoulou, A., Lambropoulou, D.A. &amp; Tsoupras, A. (2025). Psychotropic and neurodegenerative drugs modulate platelet activity via the PAF pathway. </w:t>
      </w:r>
      <w:r w:rsidRPr="00DB5FB2">
        <w:rPr>
          <w:i/>
          <w:iCs/>
          <w:color w:val="000000"/>
          <w:lang w:val="en-US"/>
        </w:rPr>
        <w:t>Neurochemistry International</w:t>
      </w:r>
      <w:r w:rsidRPr="00CD1A7E">
        <w:rPr>
          <w:color w:val="000000"/>
          <w:lang w:val="en-US"/>
        </w:rPr>
        <w:t>, 191, 106073.</w:t>
      </w:r>
    </w:p>
    <w:p w14:paraId="238929EC" w14:textId="77777777" w:rsidR="00F443E4" w:rsidRPr="00CD1A7E" w:rsidRDefault="00000000">
      <w:pPr>
        <w:ind w:left="567" w:hanging="567"/>
        <w:jc w:val="both"/>
        <w:rPr>
          <w:lang w:val="en-US"/>
        </w:rPr>
      </w:pPr>
      <w:r w:rsidRPr="00CD1A7E">
        <w:rPr>
          <w:color w:val="000000"/>
          <w:lang w:val="en-US"/>
        </w:rPr>
        <w:t xml:space="preserve">Koutis, N., Liepouris, G., Moysidou, I., Vogiatzaki, L., Shiels, K., Saha, S.K., Ofrydopoulou, A. &amp; Tsoupras, A. (2026). Fermentation enhances antioxidant, antiplatelet, and anti-inflammatory properties of oat- and soy-derived dairy alternatives. </w:t>
      </w:r>
      <w:r w:rsidRPr="00DB5FB2">
        <w:rPr>
          <w:i/>
          <w:iCs/>
          <w:color w:val="000000"/>
          <w:lang w:val="en-US"/>
        </w:rPr>
        <w:t>Nutrients</w:t>
      </w:r>
      <w:r w:rsidRPr="00CD1A7E">
        <w:rPr>
          <w:color w:val="000000"/>
          <w:lang w:val="en-US"/>
        </w:rPr>
        <w:t>, 18, 1260.</w:t>
      </w:r>
    </w:p>
    <w:p w14:paraId="601A0AF7" w14:textId="77777777" w:rsidR="00F443E4" w:rsidRPr="00CD1A7E" w:rsidRDefault="00000000">
      <w:pPr>
        <w:ind w:left="567" w:hanging="567"/>
        <w:jc w:val="both"/>
        <w:rPr>
          <w:lang w:val="en-US"/>
        </w:rPr>
      </w:pPr>
      <w:r w:rsidRPr="00CD1A7E">
        <w:rPr>
          <w:color w:val="000000"/>
          <w:lang w:val="en-US"/>
        </w:rPr>
        <w:t xml:space="preserve">Lordan, R., Vidal, N.P., Huong Pham, T., Tsoupras, A., Thomas, R.H. &amp; Zabetakis, I. (2020). Yoghurt fermentation alters the composition and antiplatelet properties of milk polar lipids. </w:t>
      </w:r>
      <w:r w:rsidRPr="00DB5FB2">
        <w:rPr>
          <w:i/>
          <w:iCs/>
          <w:color w:val="000000"/>
          <w:lang w:val="en-US"/>
        </w:rPr>
        <w:t>Food Chemistry</w:t>
      </w:r>
      <w:r w:rsidRPr="00CD1A7E">
        <w:rPr>
          <w:color w:val="000000"/>
          <w:lang w:val="en-US"/>
        </w:rPr>
        <w:t>, 332, 127384.</w:t>
      </w:r>
    </w:p>
    <w:p w14:paraId="62238377" w14:textId="77777777" w:rsidR="00F443E4" w:rsidRPr="00CD1A7E" w:rsidRDefault="00000000">
      <w:pPr>
        <w:ind w:left="567" w:hanging="567"/>
        <w:jc w:val="both"/>
        <w:rPr>
          <w:lang w:val="en-US"/>
        </w:rPr>
      </w:pPr>
      <w:r w:rsidRPr="00CD1A7E">
        <w:rPr>
          <w:color w:val="000000"/>
          <w:lang w:val="en-US"/>
        </w:rPr>
        <w:t xml:space="preserve">Papadopoulou, D., Chrysikopoulou, V., Rampaouni, A., Plakidis, C., Ofrydopoulou, A., Shiels, K., Saha, S.K. &amp; Tsoupras, A. (2025). Antioxidant, antithrombotic and anti-inflammatory properties of amphiphilic bioactives from water kefir grains and its apple pomace-based fermented beverage. </w:t>
      </w:r>
      <w:r w:rsidRPr="00DB5FB2">
        <w:rPr>
          <w:i/>
          <w:iCs/>
          <w:color w:val="000000"/>
          <w:lang w:val="en-US"/>
        </w:rPr>
        <w:t>Antioxidants</w:t>
      </w:r>
      <w:r w:rsidRPr="00CD1A7E">
        <w:rPr>
          <w:color w:val="000000"/>
          <w:lang w:val="en-US"/>
        </w:rPr>
        <w:t>, 14, 164.</w:t>
      </w:r>
    </w:p>
    <w:p w14:paraId="07774EFD" w14:textId="77777777" w:rsidR="00F443E4" w:rsidRDefault="00000000">
      <w:pPr>
        <w:ind w:left="567" w:hanging="567"/>
        <w:jc w:val="both"/>
      </w:pPr>
      <w:r w:rsidRPr="00CD1A7E">
        <w:rPr>
          <w:color w:val="000000"/>
          <w:lang w:val="en-US"/>
        </w:rPr>
        <w:t xml:space="preserve">Poutzalis, S., Anastasiadou, A., Nasopoulou, C., Megalemou, K., Sioriki, E. &amp; Zabetakis, I. (2016). Evaluation of the in vitro anti-atherogenic activities of goat milk and goat dairy products. </w:t>
      </w:r>
      <w:r w:rsidRPr="00DB5FB2">
        <w:rPr>
          <w:i/>
          <w:iCs/>
          <w:color w:val="000000"/>
        </w:rPr>
        <w:t>Dairy Science &amp; Technology</w:t>
      </w:r>
      <w:r>
        <w:rPr>
          <w:color w:val="000000"/>
        </w:rPr>
        <w:t>, 96, 317–327.</w:t>
      </w:r>
    </w:p>
    <w:sectPr w:rsidR="00F443E4" w:rsidSect="00985059">
      <w:pgSz w:w="11906" w:h="16838"/>
      <w:pgMar w:top="1418" w:right="1418" w:bottom="1418" w:left="141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A1"/>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75233"/>
    <w:multiLevelType w:val="hybridMultilevel"/>
    <w:tmpl w:val="3416BE44"/>
    <w:lvl w:ilvl="0" w:tplc="F01AC474">
      <w:start w:val="1"/>
      <w:numFmt w:val="bullet"/>
      <w:lvlText w:val="●"/>
      <w:lvlJc w:val="left"/>
      <w:pPr>
        <w:ind w:left="720" w:hanging="360"/>
      </w:pPr>
    </w:lvl>
    <w:lvl w:ilvl="1" w:tplc="1468485C">
      <w:start w:val="1"/>
      <w:numFmt w:val="bullet"/>
      <w:lvlText w:val="○"/>
      <w:lvlJc w:val="left"/>
      <w:pPr>
        <w:ind w:left="1440" w:hanging="360"/>
      </w:pPr>
    </w:lvl>
    <w:lvl w:ilvl="2" w:tplc="79E24F64">
      <w:start w:val="1"/>
      <w:numFmt w:val="bullet"/>
      <w:lvlText w:val="■"/>
      <w:lvlJc w:val="left"/>
      <w:pPr>
        <w:ind w:left="2160" w:hanging="360"/>
      </w:pPr>
    </w:lvl>
    <w:lvl w:ilvl="3" w:tplc="3926C43A">
      <w:start w:val="1"/>
      <w:numFmt w:val="bullet"/>
      <w:lvlText w:val="●"/>
      <w:lvlJc w:val="left"/>
      <w:pPr>
        <w:ind w:left="2880" w:hanging="360"/>
      </w:pPr>
    </w:lvl>
    <w:lvl w:ilvl="4" w:tplc="782E22E6">
      <w:start w:val="1"/>
      <w:numFmt w:val="bullet"/>
      <w:lvlText w:val="○"/>
      <w:lvlJc w:val="left"/>
      <w:pPr>
        <w:ind w:left="3600" w:hanging="360"/>
      </w:pPr>
    </w:lvl>
    <w:lvl w:ilvl="5" w:tplc="5D5CEB6E">
      <w:start w:val="1"/>
      <w:numFmt w:val="bullet"/>
      <w:lvlText w:val="■"/>
      <w:lvlJc w:val="left"/>
      <w:pPr>
        <w:ind w:left="4320" w:hanging="360"/>
      </w:pPr>
    </w:lvl>
    <w:lvl w:ilvl="6" w:tplc="7D268EFE">
      <w:start w:val="1"/>
      <w:numFmt w:val="bullet"/>
      <w:lvlText w:val="●"/>
      <w:lvlJc w:val="left"/>
      <w:pPr>
        <w:ind w:left="5040" w:hanging="360"/>
      </w:pPr>
    </w:lvl>
    <w:lvl w:ilvl="7" w:tplc="0834F3E4">
      <w:start w:val="1"/>
      <w:numFmt w:val="bullet"/>
      <w:lvlText w:val="●"/>
      <w:lvlJc w:val="left"/>
      <w:pPr>
        <w:ind w:left="5760" w:hanging="360"/>
      </w:pPr>
    </w:lvl>
    <w:lvl w:ilvl="8" w:tplc="00D675D2">
      <w:start w:val="1"/>
      <w:numFmt w:val="bullet"/>
      <w:lvlText w:val="●"/>
      <w:lvlJc w:val="left"/>
      <w:pPr>
        <w:ind w:left="6480" w:hanging="360"/>
      </w:pPr>
    </w:lvl>
  </w:abstractNum>
  <w:num w:numId="1" w16cid:durableId="4412704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3E4"/>
    <w:rsid w:val="00120FA5"/>
    <w:rsid w:val="001D3006"/>
    <w:rsid w:val="002508BC"/>
    <w:rsid w:val="002E7550"/>
    <w:rsid w:val="004601F0"/>
    <w:rsid w:val="004E5472"/>
    <w:rsid w:val="00745114"/>
    <w:rsid w:val="0084170C"/>
    <w:rsid w:val="008558DB"/>
    <w:rsid w:val="00886639"/>
    <w:rsid w:val="00985059"/>
    <w:rsid w:val="00A92AA7"/>
    <w:rsid w:val="00BF1AFA"/>
    <w:rsid w:val="00CD1A7E"/>
    <w:rsid w:val="00DB5FB2"/>
    <w:rsid w:val="00F443E4"/>
    <w:rsid w:val="00FA007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D262"/>
  <w15:docId w15:val="{0E6FA424-C47D-43C0-9A74-43F746E5B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059"/>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Κείμενο σημείωσης τέλους Char"/>
    <w:link w:val="a8"/>
    <w:uiPriority w:val="99"/>
    <w:semiHidden/>
    <w:unhideWhenUsed/>
    <w:rPr>
      <w:sz w:val="20"/>
      <w:szCs w:val="20"/>
    </w:rPr>
  </w:style>
  <w:style w:type="character" w:styleId="a9">
    <w:name w:val="Unresolved Mention"/>
    <w:basedOn w:val="a0"/>
    <w:uiPriority w:val="99"/>
    <w:semiHidden/>
    <w:unhideWhenUsed/>
    <w:rsid w:val="008558DB"/>
    <w:rPr>
      <w:color w:val="605E5C"/>
      <w:shd w:val="clear" w:color="auto" w:fill="E1DFDD"/>
    </w:rPr>
  </w:style>
  <w:style w:type="paragraph" w:styleId="aa">
    <w:name w:val="Subtitle"/>
    <w:basedOn w:val="a"/>
    <w:next w:val="a"/>
    <w:link w:val="Char1"/>
    <w:uiPriority w:val="11"/>
    <w:qFormat/>
    <w:rsid w:val="00BF1AF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Char1">
    <w:name w:val="Υπότιτλος Char"/>
    <w:basedOn w:val="a0"/>
    <w:link w:val="aa"/>
    <w:uiPriority w:val="11"/>
    <w:rsid w:val="00BF1AFA"/>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1042</Words>
  <Characters>5631</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Λένα Κουρμάζου</cp:lastModifiedBy>
  <cp:revision>13</cp:revision>
  <dcterms:created xsi:type="dcterms:W3CDTF">2026-10-13T11:59:00Z</dcterms:created>
  <dcterms:modified xsi:type="dcterms:W3CDTF">2026-10-14T19:47:00Z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61597f9cafde1b3eb0577eec6ce7ed4c69bf7d8281b8b81b61b26e4666da7b42</vt:lpwstr>
  </property>
</Properties>
</file>