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FBA" w:rsidRDefault="00400FBA" w:rsidP="001105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</w:pPr>
    </w:p>
    <w:p w:rsidR="00400FBA" w:rsidRDefault="00400FBA" w:rsidP="001105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</w:pPr>
    </w:p>
    <w:p w:rsidR="0011058E" w:rsidRDefault="0011058E" w:rsidP="0040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</w:pPr>
      <w:proofErr w:type="spellStart"/>
      <w:r w:rsidRPr="0011058E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>VGL</w:t>
      </w:r>
      <w:r w:rsidR="00400FBA" w:rsidRPr="0011058E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>ab</w:t>
      </w:r>
      <w:proofErr w:type="spellEnd"/>
      <w:r w:rsidRPr="0011058E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 xml:space="preserve">: </w:t>
      </w:r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 xml:space="preserve">Ένα </w:t>
      </w:r>
      <w:proofErr w:type="spellStart"/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>διαδραστικό</w:t>
      </w:r>
      <w:proofErr w:type="spellEnd"/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 xml:space="preserve"> εικονικό</w:t>
      </w:r>
      <w:r w:rsidR="00400FBA" w:rsidRPr="0011058E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 xml:space="preserve"> ερ</w:t>
      </w:r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 xml:space="preserve">γαστήριο Γενετικής για τη διδασκαλία των νόμων του </w:t>
      </w:r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val="en-US" w:eastAsia="el-GR"/>
        </w:rPr>
        <w:t>M</w:t>
      </w:r>
      <w:proofErr w:type="spellStart"/>
      <w:r w:rsidR="00400FBA" w:rsidRPr="0011058E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>en</w:t>
      </w:r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>del</w:t>
      </w:r>
      <w:proofErr w:type="spellEnd"/>
      <w:r w:rsidR="00400FBA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  <w:t xml:space="preserve"> στη Βιολογία Προσανατολισμού Υγείας</w:t>
      </w:r>
    </w:p>
    <w:p w:rsidR="00400FBA" w:rsidRDefault="00400FBA" w:rsidP="00400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bdr w:val="none" w:sz="0" w:space="0" w:color="auto" w:frame="1"/>
          <w:lang w:eastAsia="el-GR"/>
        </w:rPr>
      </w:pPr>
    </w:p>
    <w:p w:rsidR="00400FBA" w:rsidRPr="0011058E" w:rsidRDefault="00400FBA" w:rsidP="00400F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ΣΑΜΑΡΑΣ Θ</w:t>
      </w:r>
      <w:r w:rsidRPr="00400FBA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ωμάς</w:t>
      </w:r>
    </w:p>
    <w:p w:rsidR="00400FBA" w:rsidRDefault="00400FBA" w:rsidP="00400F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F1F1F"/>
          <w:szCs w:val="24"/>
          <w:lang w:eastAsia="el-GR"/>
        </w:rPr>
      </w:pPr>
      <w:r w:rsidRPr="00400FBA">
        <w:rPr>
          <w:rFonts w:ascii="Times New Roman" w:eastAsia="Times New Roman" w:hAnsi="Times New Roman" w:cs="Times New Roman"/>
          <w:i/>
          <w:color w:val="1F1F1F"/>
          <w:szCs w:val="24"/>
          <w:lang w:eastAsia="el-GR"/>
        </w:rPr>
        <w:t>3</w:t>
      </w:r>
      <w:r w:rsidRPr="00400FBA">
        <w:rPr>
          <w:rFonts w:ascii="Times New Roman" w:eastAsia="Times New Roman" w:hAnsi="Times New Roman" w:cs="Times New Roman"/>
          <w:i/>
          <w:color w:val="1F1F1F"/>
          <w:szCs w:val="24"/>
          <w:vertAlign w:val="superscript"/>
          <w:lang w:eastAsia="el-GR"/>
        </w:rPr>
        <w:t>ο</w:t>
      </w:r>
      <w:r w:rsidRPr="00400FBA">
        <w:rPr>
          <w:rFonts w:ascii="Times New Roman" w:eastAsia="Times New Roman" w:hAnsi="Times New Roman" w:cs="Times New Roman"/>
          <w:i/>
          <w:color w:val="1F1F1F"/>
          <w:szCs w:val="24"/>
          <w:lang w:eastAsia="el-GR"/>
        </w:rPr>
        <w:t xml:space="preserve"> Πειραματικό Λύκειο Κομοτηνής, </w:t>
      </w:r>
      <w:hyperlink r:id="rId6" w:history="1"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val="en-US" w:eastAsia="el-GR"/>
          </w:rPr>
          <w:t>samaras</w:t>
        </w:r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eastAsia="el-GR"/>
          </w:rPr>
          <w:t>_</w:t>
        </w:r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val="en-US" w:eastAsia="el-GR"/>
          </w:rPr>
          <w:t>t</w:t>
        </w:r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eastAsia="el-GR"/>
          </w:rPr>
          <w:t>@</w:t>
        </w:r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val="en-US" w:eastAsia="el-GR"/>
          </w:rPr>
          <w:t>yahoo</w:t>
        </w:r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eastAsia="el-GR"/>
          </w:rPr>
          <w:t>.</w:t>
        </w:r>
        <w:r w:rsidRPr="00400FBA">
          <w:rPr>
            <w:rStyle w:val="-"/>
            <w:rFonts w:ascii="Times New Roman" w:eastAsia="Times New Roman" w:hAnsi="Times New Roman" w:cs="Times New Roman"/>
            <w:i/>
            <w:szCs w:val="24"/>
            <w:lang w:val="en-US" w:eastAsia="el-GR"/>
          </w:rPr>
          <w:t>gr</w:t>
        </w:r>
      </w:hyperlink>
      <w:r w:rsidRPr="00400FBA">
        <w:rPr>
          <w:rFonts w:ascii="Times New Roman" w:eastAsia="Times New Roman" w:hAnsi="Times New Roman" w:cs="Times New Roman"/>
          <w:i/>
          <w:color w:val="1F1F1F"/>
          <w:szCs w:val="24"/>
          <w:lang w:eastAsia="el-GR"/>
        </w:rPr>
        <w:t xml:space="preserve"> </w:t>
      </w:r>
    </w:p>
    <w:p w:rsidR="00400FBA" w:rsidRDefault="00400FBA" w:rsidP="00400F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F1F1F"/>
          <w:szCs w:val="24"/>
          <w:lang w:eastAsia="el-GR"/>
        </w:rPr>
      </w:pPr>
    </w:p>
    <w:p w:rsidR="00400FBA" w:rsidRDefault="00400FBA" w:rsidP="00400F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F1F1F"/>
          <w:szCs w:val="24"/>
          <w:lang w:eastAsia="el-GR"/>
        </w:rPr>
      </w:pPr>
    </w:p>
    <w:p w:rsidR="006D54D6" w:rsidRDefault="00400FBA" w:rsidP="006D54D6">
      <w:pPr>
        <w:spacing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el-GR"/>
        </w:rPr>
      </w:pPr>
      <w:r w:rsidRPr="00400FBA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el-GR"/>
        </w:rPr>
        <w:t>Περίληψη</w:t>
      </w:r>
    </w:p>
    <w:p w:rsidR="00400FBA" w:rsidRDefault="00B14658" w:rsidP="006D54D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Η κατανόηση των </w:t>
      </w:r>
      <w:proofErr w:type="spellStart"/>
      <w:r>
        <w:rPr>
          <w:rFonts w:ascii="Times New Roman" w:hAnsi="Times New Roman" w:cs="Times New Roman"/>
          <w:sz w:val="24"/>
        </w:rPr>
        <w:t>Μενδ</w:t>
      </w:r>
      <w:r w:rsidR="00DC031F" w:rsidRPr="006D54D6">
        <w:rPr>
          <w:rFonts w:ascii="Times New Roman" w:hAnsi="Times New Roman" w:cs="Times New Roman"/>
          <w:sz w:val="24"/>
        </w:rPr>
        <w:t>ελικών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νόμων κληρονομικότητας δυσκολεύει συχνά τους μαθητές λόγω της αφηρημένης φύσης των γενετικών εννοιών. Σκοπός της εργασίας είναι η </w:t>
      </w:r>
      <w:r w:rsidR="006D54D6" w:rsidRPr="006D54D6">
        <w:rPr>
          <w:rFonts w:ascii="Times New Roman" w:hAnsi="Times New Roman" w:cs="Times New Roman"/>
          <w:sz w:val="24"/>
        </w:rPr>
        <w:t>π</w:t>
      </w:r>
      <w:r w:rsidR="00DC031F" w:rsidRPr="006D54D6">
        <w:rPr>
          <w:rFonts w:ascii="Times New Roman" w:hAnsi="Times New Roman" w:cs="Times New Roman"/>
          <w:sz w:val="24"/>
        </w:rPr>
        <w:t xml:space="preserve">αρουσίαση του </w:t>
      </w:r>
      <w:proofErr w:type="spellStart"/>
      <w:r w:rsidR="00DC031F" w:rsidRPr="006D54D6">
        <w:rPr>
          <w:rFonts w:ascii="Times New Roman" w:hAnsi="Times New Roman" w:cs="Times New Roman"/>
          <w:b/>
          <w:bCs/>
          <w:sz w:val="24"/>
        </w:rPr>
        <w:t>Virtual</w:t>
      </w:r>
      <w:proofErr w:type="spellEnd"/>
      <w:r w:rsidR="00DC031F" w:rsidRPr="006D54D6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DC031F" w:rsidRPr="006D54D6">
        <w:rPr>
          <w:rFonts w:ascii="Times New Roman" w:hAnsi="Times New Roman" w:cs="Times New Roman"/>
          <w:b/>
          <w:bCs/>
          <w:sz w:val="24"/>
        </w:rPr>
        <w:t>Genetics</w:t>
      </w:r>
      <w:proofErr w:type="spellEnd"/>
      <w:r w:rsidR="00DC031F" w:rsidRPr="006D54D6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DC031F" w:rsidRPr="006D54D6">
        <w:rPr>
          <w:rFonts w:ascii="Times New Roman" w:hAnsi="Times New Roman" w:cs="Times New Roman"/>
          <w:b/>
          <w:bCs/>
          <w:sz w:val="24"/>
        </w:rPr>
        <w:t>Lab</w:t>
      </w:r>
      <w:proofErr w:type="spellEnd"/>
      <w:r w:rsidR="00DC031F" w:rsidRPr="006D54D6">
        <w:rPr>
          <w:rFonts w:ascii="Times New Roman" w:hAnsi="Times New Roman" w:cs="Times New Roman"/>
          <w:b/>
          <w:bCs/>
          <w:sz w:val="24"/>
        </w:rPr>
        <w:t xml:space="preserve"> (</w:t>
      </w:r>
      <w:proofErr w:type="spellStart"/>
      <w:r w:rsidR="00DC031F" w:rsidRPr="006D54D6">
        <w:rPr>
          <w:rFonts w:ascii="Times New Roman" w:hAnsi="Times New Roman" w:cs="Times New Roman"/>
          <w:b/>
          <w:bCs/>
          <w:sz w:val="24"/>
        </w:rPr>
        <w:t>VGLab</w:t>
      </w:r>
      <w:proofErr w:type="spellEnd"/>
      <w:r w:rsidR="00DC031F" w:rsidRPr="006D54D6">
        <w:rPr>
          <w:rFonts w:ascii="Times New Roman" w:hAnsi="Times New Roman" w:cs="Times New Roman"/>
          <w:b/>
          <w:bCs/>
          <w:sz w:val="24"/>
        </w:rPr>
        <w:t>)</w:t>
      </w:r>
      <w:r w:rsidR="00DC031F" w:rsidRPr="006D54D6">
        <w:rPr>
          <w:rFonts w:ascii="Times New Roman" w:hAnsi="Times New Roman" w:cs="Times New Roman"/>
          <w:sz w:val="24"/>
        </w:rPr>
        <w:t xml:space="preserve">, μιας ανοικτής εκπαιδευτικής εφαρμογής (OER) σχεδιασμένης για τη διδασκαλία της Γενετικής μέσω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διαδραστικών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προσομοιώσεων. Το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VGLab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αναπτύχθηκε με τεχνολογίες ιστού (HTML5, CSS3,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JavaScript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ES6) και διαθέτει αυτόνομη μηχανή υπολογισμού γενετικών πιθανοτήτων. Υποστηρίζει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μονοϋβριδισμό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αυτοσωμικό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και φυλοσύνδετο X-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linked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) και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διϋβριδισμό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. Παράγει αυτόματα γαμέτες, Τετράγωνα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Punnett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και υπολογίζει γονοτυπικές και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φαινοτυπικές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αναλογίες. Οι χρήστες επιλέγουν χαρακτηριστικά της διδακτέας ύ</w:t>
      </w:r>
      <w:r>
        <w:rPr>
          <w:rFonts w:ascii="Times New Roman" w:hAnsi="Times New Roman" w:cs="Times New Roman"/>
          <w:sz w:val="24"/>
        </w:rPr>
        <w:t>λης (όπως σχήμα σπόρου μοσχομπίζελου</w:t>
      </w:r>
      <w:r w:rsidR="00DC031F" w:rsidRPr="006D54D6">
        <w:rPr>
          <w:rFonts w:ascii="Times New Roman" w:hAnsi="Times New Roman" w:cs="Times New Roman"/>
          <w:sz w:val="24"/>
        </w:rPr>
        <w:t xml:space="preserve">, κυστική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ίνωση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>, αχρωματοψία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κ.α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>), ορίζουν γονότυπους ή φύλο γονέων και εκτελούν εικονικές διασταυρώσεις με ταυτόχρονη προβολή στατιστικών κατανομών.</w:t>
      </w:r>
      <w:r w:rsidR="006D54D6" w:rsidRPr="006D54D6">
        <w:rPr>
          <w:rFonts w:ascii="Times New Roman" w:hAnsi="Times New Roman" w:cs="Times New Roman"/>
          <w:sz w:val="24"/>
        </w:rPr>
        <w:t xml:space="preserve"> </w:t>
      </w:r>
      <w:r w:rsidR="00DC031F" w:rsidRPr="006D54D6">
        <w:rPr>
          <w:rFonts w:ascii="Times New Roman" w:hAnsi="Times New Roman" w:cs="Times New Roman"/>
          <w:sz w:val="24"/>
        </w:rPr>
        <w:t>Το</w:t>
      </w:r>
      <w:r w:rsidR="00B956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95662">
        <w:rPr>
          <w:rFonts w:ascii="Times New Roman" w:hAnsi="Times New Roman" w:cs="Times New Roman"/>
          <w:sz w:val="24"/>
        </w:rPr>
        <w:t>VGLab</w:t>
      </w:r>
      <w:proofErr w:type="spellEnd"/>
      <w:r w:rsidR="00B95662">
        <w:rPr>
          <w:rFonts w:ascii="Times New Roman" w:hAnsi="Times New Roman" w:cs="Times New Roman"/>
          <w:sz w:val="24"/>
        </w:rPr>
        <w:t xml:space="preserve"> προσφέρει ένα διαδραστικό</w:t>
      </w:r>
      <w:bookmarkStart w:id="0" w:name="_GoBack"/>
      <w:bookmarkEnd w:id="0"/>
      <w:r w:rsidR="00DC031F" w:rsidRPr="006D54D6">
        <w:rPr>
          <w:rFonts w:ascii="Times New Roman" w:hAnsi="Times New Roman" w:cs="Times New Roman"/>
          <w:sz w:val="24"/>
        </w:rPr>
        <w:t xml:space="preserve"> ψηφιακό περιβάλλον που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οπτικοποιεί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σύνθετους μηχανισμούς, ενισχύει την </w:t>
      </w:r>
      <w:proofErr w:type="spellStart"/>
      <w:r w:rsidR="00DC031F" w:rsidRPr="006D54D6">
        <w:rPr>
          <w:rFonts w:ascii="Times New Roman" w:hAnsi="Times New Roman" w:cs="Times New Roman"/>
          <w:sz w:val="24"/>
        </w:rPr>
        <w:t>ανακαλυπτική</w:t>
      </w:r>
      <w:proofErr w:type="spellEnd"/>
      <w:r w:rsidR="00DC031F" w:rsidRPr="006D54D6">
        <w:rPr>
          <w:rFonts w:ascii="Times New Roman" w:hAnsi="Times New Roman" w:cs="Times New Roman"/>
          <w:sz w:val="24"/>
        </w:rPr>
        <w:t xml:space="preserve"> μάθηση και αξιοποιείται αποτελεσματικά στη δια ζώσης και εξ αποστάσεως εκπαίδευση.</w:t>
      </w:r>
    </w:p>
    <w:p w:rsidR="006D54D6" w:rsidRDefault="006D54D6" w:rsidP="006D54D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D54D6" w:rsidRPr="0011058E" w:rsidRDefault="006D54D6" w:rsidP="006D54D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6D54D6">
        <w:rPr>
          <w:rFonts w:ascii="Times New Roman" w:hAnsi="Times New Roman" w:cs="Times New Roman"/>
          <w:b/>
          <w:sz w:val="24"/>
        </w:rPr>
        <w:t>Λέξεις-κλειδιά: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Διδακτική της Βιολογίας, Νόμοι του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Mendel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, Εικονικό Εργαστήριο,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Μονοϋβριδισμός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, Τετράγωνο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Punnett</w:t>
      </w:r>
      <w:proofErr w:type="spellEnd"/>
    </w:p>
    <w:p w:rsidR="006D54D6" w:rsidRPr="006D54D6" w:rsidRDefault="006D54D6" w:rsidP="006D54D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D54D6" w:rsidRPr="0011058E" w:rsidRDefault="006D54D6" w:rsidP="006D54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el-GR"/>
        </w:rPr>
      </w:pPr>
    </w:p>
    <w:p w:rsidR="0011058E" w:rsidRPr="0011058E" w:rsidRDefault="006D54D6" w:rsidP="0011058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Εισαγωγή</w:t>
      </w:r>
    </w:p>
    <w:p w:rsidR="0011058E" w:rsidRPr="0011058E" w:rsidRDefault="0011058E" w:rsidP="006D54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Η κατανόηση των </w:t>
      </w:r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αρχών της Γενετικής και των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Νόμων Κληρονομικότητας</w:t>
      </w:r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του </w:t>
      </w:r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Mendel</w:t>
      </w:r>
      <w:r w:rsidR="00214B58" w:rsidRP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,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αποτελεί ένα από τα πιο απαιτητικά πεδία στη διδασκαλία των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Βιοεπιστημών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στη Δευτεροβάθμια Εκπαίδευση. Οι αφηρημένες έννοιες των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αλληλομόρφων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, της επικράτησης και των πιθανοτήτων συχνά δυσκολεύουν τους μαθητές</w:t>
      </w:r>
      <w:r w:rsidR="00214B58" w:rsidRP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</w:t>
      </w:r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Κεφάλαιο 5: </w:t>
      </w:r>
      <w:proofErr w:type="spellStart"/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Μενδελική</w:t>
      </w:r>
      <w:proofErr w:type="spellEnd"/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Κληρονομικότητα) (</w:t>
      </w:r>
      <w:proofErr w:type="spellStart"/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Αλεπόρου</w:t>
      </w:r>
      <w:proofErr w:type="spellEnd"/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-Μαρίνου </w:t>
      </w:r>
      <w:proofErr w:type="spellStart"/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κ.α</w:t>
      </w:r>
      <w:proofErr w:type="spellEnd"/>
      <w:r w:rsidR="00214B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2023)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. Σκοπός της παρούσας εργασίας είναι η παρουσίαση του </w:t>
      </w:r>
      <w:proofErr w:type="spellStart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Virtual</w:t>
      </w:r>
      <w:proofErr w:type="spellEnd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 xml:space="preserve"> </w:t>
      </w:r>
      <w:proofErr w:type="spellStart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Genetics</w:t>
      </w:r>
      <w:proofErr w:type="spellEnd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 xml:space="preserve"> </w:t>
      </w:r>
      <w:proofErr w:type="spellStart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Lab</w:t>
      </w:r>
      <w:proofErr w:type="spellEnd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 xml:space="preserve"> (</w:t>
      </w:r>
      <w:proofErr w:type="spellStart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VGLab</w:t>
      </w:r>
      <w:proofErr w:type="spellEnd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)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, μιας ανοικτής εκπαιδευτικής εφαρμογής (OER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, 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Open</w:t>
      </w:r>
      <w:r w:rsidR="00827E56" w:rsidRP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Educational</w:t>
      </w:r>
      <w:r w:rsidR="00827E56" w:rsidRP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Resource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) που σχεδιάστηκε για να διευκολύνει τη διδασκαλία της Γενετικής μέσω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διαδραστικών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προσομοιώσεων.</w:t>
      </w:r>
    </w:p>
    <w:p w:rsidR="0011058E" w:rsidRPr="0011058E" w:rsidRDefault="0011058E" w:rsidP="0011058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</w:p>
    <w:p w:rsidR="0011058E" w:rsidRPr="0011058E" w:rsidRDefault="00827E56" w:rsidP="0011058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Υλικά &amp; Μέθοδοι</w:t>
      </w:r>
    </w:p>
    <w:p w:rsidR="0011058E" w:rsidRPr="0011058E" w:rsidRDefault="0011058E" w:rsidP="00827E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Το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VGLab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αναπτύχθηκε με χρήση σύγχρονων τεχνολογιών ιστού 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(HTML5, CSS3, </w:t>
      </w:r>
      <w:proofErr w:type="spellStart"/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JavaScript</w:t>
      </w:r>
      <w:proofErr w:type="spellEnd"/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ES6)</w:t>
      </w:r>
      <w:r w:rsidR="00827E56" w:rsidRP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</w:t>
      </w:r>
      <w:proofErr w:type="spellStart"/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Ducket</w:t>
      </w:r>
      <w:proofErr w:type="spellEnd"/>
      <w:r w:rsidR="00827E56" w:rsidRP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r w:rsidR="00E0009A" w:rsidRPr="00E0009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2011, </w:t>
      </w:r>
      <w:r w:rsidR="00E0009A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Robins</w:t>
      </w:r>
      <w:r w:rsidR="00E0009A" w:rsidRPr="00E0009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2018)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εξασφαλίζοντας προσβασιμότητα από οποιαδήποτε συσκευή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(κινητό τηλέφωνο, Η/Υ, 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tablet</w:t>
      </w:r>
      <w:r w:rsidR="00B14658" w:rsidRP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)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χωρίς απαίτηση </w:t>
      </w:r>
      <w:r w:rsidRPr="007A215B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εγκατάστασης.</w:t>
      </w:r>
      <w:r w:rsidR="00B14658" w:rsidRPr="007A215B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Διατίθεται δωρεάν διαδικτυακά μέσω του </w:t>
      </w:r>
      <w:proofErr w:type="spellStart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el-GR"/>
        </w:rPr>
        <w:t>Github</w:t>
      </w:r>
      <w:proofErr w:type="spellEnd"/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στην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ιστοσελίδα,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hyperlink r:id="rId7" w:history="1">
        <w:r w:rsidR="00B14658" w:rsidRPr="00D62B2B">
          <w:rPr>
            <w:rStyle w:val="-"/>
            <w:rFonts w:ascii="Times New Roman" w:eastAsia="Times New Roman" w:hAnsi="Times New Roman" w:cs="Times New Roman"/>
            <w:sz w:val="24"/>
            <w:szCs w:val="24"/>
            <w:lang w:eastAsia="el-GR"/>
          </w:rPr>
          <w:t>https://samarast-svg.github.io/vglab/</w:t>
        </w:r>
      </w:hyperlink>
      <w:r w:rsidR="00B00EB1" w:rsidRP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</w:t>
      </w:r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Εικόνα 1)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. 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Το λογισμικό ενσωματώνει μια αυτόνομη μηχανή υπο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λογισμού γενετικών πιθανοτήτων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και μια δυναμική βάση δεδομένων χαρακτηριστικώ</w:t>
      </w:r>
      <w:r w:rsidR="00827E56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ν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. Η εφαρμογή υποστηρίζει:</w:t>
      </w:r>
    </w:p>
    <w:p w:rsidR="0011058E" w:rsidRPr="0011058E" w:rsidRDefault="0011058E" w:rsidP="00827E56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proofErr w:type="spellStart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Μονοϋβριδισμό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αυτοσωμική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και φυλοσύνδετη κληρονομικότητα X-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linked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).</w:t>
      </w:r>
    </w:p>
    <w:p w:rsidR="0011058E" w:rsidRPr="0011058E" w:rsidRDefault="0011058E" w:rsidP="00827E56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proofErr w:type="spellStart"/>
      <w:r w:rsidRPr="0011058E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eastAsia="el-GR"/>
        </w:rPr>
        <w:t>Διϋβριδισμό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(ανεξάρτητη μεταβίβαση δύο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αυτοσωμικών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χαρακτήρων).</w:t>
      </w:r>
    </w:p>
    <w:p w:rsidR="0011058E" w:rsidRDefault="0011058E" w:rsidP="0070102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lastRenderedPageBreak/>
        <w:t xml:space="preserve">Αυτόματη παραγωγή γαμετών, κατασκευή Τετραγώνου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Punnett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και υπολογισμό γονοτυπικών/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φαινοτυπικών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αναλογιών και ποσοστών.</w:t>
      </w:r>
    </w:p>
    <w:p w:rsidR="00B00EB1" w:rsidRDefault="007A215B" w:rsidP="00991329">
      <w:pPr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7A215B">
        <w:rPr>
          <w:rFonts w:ascii="Times New Roman" w:hAnsi="Times New Roman" w:cs="Times New Roman"/>
          <w:sz w:val="24"/>
          <w:szCs w:val="24"/>
        </w:rPr>
        <w:t xml:space="preserve">Για τη βελτιστοποίηση του κώδικα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JavaScript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 αξιοποιήθηκε το μοντέλο τεχνητής νοημοσύνης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Gemini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>, 2026).</w:t>
      </w:r>
    </w:p>
    <w:p w:rsidR="00B00EB1" w:rsidRDefault="00B00EB1" w:rsidP="00B00E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noProof/>
          <w:color w:val="1F1F1F"/>
          <w:sz w:val="24"/>
          <w:szCs w:val="24"/>
          <w:lang w:eastAsia="el-GR"/>
        </w:rPr>
        <w:drawing>
          <wp:inline distT="0" distB="0" distL="0" distR="0">
            <wp:extent cx="1828800" cy="1828800"/>
            <wp:effectExtent l="0" t="0" r="0" b="0"/>
            <wp:docPr id="1" name="Εικόνα 1" descr="C:\Users\User\AppData\Local\Microsoft\Windows\INetCache\Content.Word\QR code VGL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QR code VGLa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EB1" w:rsidRPr="00B00EB1" w:rsidRDefault="00B00EB1" w:rsidP="00B00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Εικόνα 1. </w:t>
      </w:r>
      <w:r>
        <w:rPr>
          <w:rFonts w:ascii="Times New Roman" w:hAnsi="Times New Roman" w:cs="Times New Roman"/>
          <w:sz w:val="24"/>
          <w:szCs w:val="24"/>
        </w:rPr>
        <w:t>Κώδικας ταχείας απόκρισης (QR</w:t>
      </w:r>
      <w:r w:rsidRPr="00BE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BE0A8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του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VGLab</w:t>
      </w:r>
      <w:proofErr w:type="spellEnd"/>
    </w:p>
    <w:p w:rsidR="00E0009A" w:rsidRDefault="00E0009A" w:rsidP="0011058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</w:pPr>
    </w:p>
    <w:p w:rsidR="0011058E" w:rsidRPr="0011058E" w:rsidRDefault="00E0009A" w:rsidP="0011058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Αποτελέσματα</w:t>
      </w:r>
    </w:p>
    <w:p w:rsidR="0011058E" w:rsidRPr="0011058E" w:rsidRDefault="0011058E" w:rsidP="00E000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Το</w:t>
      </w:r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proofErr w:type="spellStart"/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VGLab</w:t>
      </w:r>
      <w:proofErr w:type="spellEnd"/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προσφέρει ένα </w:t>
      </w:r>
      <w:proofErr w:type="spellStart"/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διαδραστικό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περιβάλλον αλληλεπίδρασης. Οι χρήστες μπορούν να επιλέξουν χαρακτήρες από τη διδακτέα ύλη (π.χ. σχήμα σ</w:t>
      </w:r>
      <w:r w:rsidR="00B608E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πόρου</w:t>
      </w:r>
      <w:r w:rsidR="00E0009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, 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κυστική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ίνωση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, αχρωματοψία), να ορίσουν γονότυπους/φύλο γονέων και να εκτελέσουν εικονικές διασταυρώσεις. Τα αποτελέσματα προβάλλονται σε πρ</w:t>
      </w:r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αγματικό χρόνο μέσω τετραγώνων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Punnett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και συγκεντρωτικών σ</w:t>
      </w:r>
      <w:r w:rsidR="00B00EB1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τατιστικών πινάκων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. Η δομή της εφαρμογής επιτρέπει την άμεση επαλήθευση υποθέσεων, ενισχύοντας την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ανακαλυπτική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μάθηση.</w:t>
      </w:r>
      <w:r w:rsidR="0096274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</w:t>
      </w:r>
      <w:proofErr w:type="spellStart"/>
      <w:r w:rsidR="0096274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Ματσαγγούρας</w:t>
      </w:r>
      <w:proofErr w:type="spellEnd"/>
      <w:r w:rsidR="0096274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2000)</w:t>
      </w:r>
    </w:p>
    <w:p w:rsidR="0011058E" w:rsidRPr="0011058E" w:rsidRDefault="0011058E" w:rsidP="0011058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</w:p>
    <w:p w:rsidR="0011058E" w:rsidRPr="0011058E" w:rsidRDefault="00E7336A" w:rsidP="0011058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el-GR"/>
        </w:rPr>
        <w:t>Συμπεράσματα</w:t>
      </w:r>
    </w:p>
    <w:p w:rsidR="0011058E" w:rsidRDefault="0011058E" w:rsidP="00E733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Το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Virtual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proofErr w:type="spellStart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Ge</w:t>
      </w:r>
      <w:r w:rsidR="00E7336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netics</w:t>
      </w:r>
      <w:proofErr w:type="spellEnd"/>
      <w:r w:rsidR="00E7336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</w:t>
      </w:r>
      <w:proofErr w:type="spellStart"/>
      <w:r w:rsidR="00E7336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Lab</w:t>
      </w:r>
      <w:proofErr w:type="spellEnd"/>
      <w:r w:rsidR="00E7336A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αποτελεί ένα χρήσιμο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ψηφιακό εργαλείο για τον εκπαιδευτικό της Βιολογίας</w:t>
      </w:r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και για τους μαθητές/</w:t>
      </w:r>
      <w:proofErr w:type="spellStart"/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τριες</w:t>
      </w:r>
      <w:proofErr w:type="spellEnd"/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της Γ’ Λυκείου Προσανατολισμού Υγείας</w:t>
      </w:r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. Επιτρέπει την </w:t>
      </w:r>
      <w:proofErr w:type="spellStart"/>
      <w:r w:rsidR="00991329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οπτικοποίηση</w:t>
      </w:r>
      <w:proofErr w:type="spellEnd"/>
      <w:r w:rsidRPr="0011058E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γενετικών μηχανισμών, γεφυρώνει το κενό μεταξύ θεωρίας και εργαστηριακής άσκησης και μπορεί να αξιοποιηθεί τόσο στη δια ζώσης διδασκαλία (με διερευνητικές δραστηριότητες) όσο και στην εξ αποστάσεως εκπαίδευση</w:t>
      </w:r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.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Επίσης είναι </w:t>
      </w:r>
      <w:proofErr w:type="spellStart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παραμετροποιήσιμο</w:t>
      </w:r>
      <w:proofErr w:type="spellEnd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, ώστε να προστεθούν επιπλέον χαρακτήρες (π.χ. ομάδες αίματος) </w:t>
      </w:r>
      <w:r w:rsidR="00561363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και </w:t>
      </w:r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σχέσεις </w:t>
      </w:r>
      <w:proofErr w:type="spellStart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αλληλομόρφων</w:t>
      </w:r>
      <w:proofErr w:type="spellEnd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 (π.χ. </w:t>
      </w:r>
      <w:proofErr w:type="spellStart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>συνεπικρατή</w:t>
      </w:r>
      <w:proofErr w:type="spellEnd"/>
      <w:r w:rsidR="00B14658"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  <w:t xml:space="preserve">). </w:t>
      </w:r>
    </w:p>
    <w:p w:rsidR="00B00EB1" w:rsidRDefault="00B00EB1" w:rsidP="00E733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</w:p>
    <w:p w:rsidR="00962743" w:rsidRDefault="00962743" w:rsidP="009627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74">
        <w:rPr>
          <w:rFonts w:ascii="Times New Roman" w:hAnsi="Times New Roman" w:cs="Times New Roman"/>
          <w:b/>
          <w:sz w:val="24"/>
          <w:szCs w:val="24"/>
        </w:rPr>
        <w:t>Βιβλιογραφία</w:t>
      </w:r>
    </w:p>
    <w:p w:rsidR="00962743" w:rsidRPr="007C1B44" w:rsidRDefault="00962743" w:rsidP="0096274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Αλεπόρου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-Μαρίνου, Β., </w:t>
      </w:r>
      <w:proofErr w:type="spellStart"/>
      <w:r>
        <w:rPr>
          <w:rFonts w:ascii="Times New Roman" w:hAnsi="Times New Roman" w:cs="Times New Roman"/>
          <w:sz w:val="24"/>
          <w:szCs w:val="24"/>
        </w:rPr>
        <w:t>Αργυροκαστρίτης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Α., </w:t>
      </w:r>
      <w:proofErr w:type="spellStart"/>
      <w:r>
        <w:rPr>
          <w:rFonts w:ascii="Times New Roman" w:hAnsi="Times New Roman" w:cs="Times New Roman"/>
          <w:sz w:val="24"/>
          <w:szCs w:val="24"/>
        </w:rPr>
        <w:t>Κομητοπούλου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Α., </w:t>
      </w:r>
      <w:proofErr w:type="spellStart"/>
      <w:r>
        <w:rPr>
          <w:rFonts w:ascii="Times New Roman" w:hAnsi="Times New Roman" w:cs="Times New Roman"/>
          <w:sz w:val="24"/>
          <w:szCs w:val="24"/>
        </w:rPr>
        <w:t>Πιαλόγλου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Π., </w:t>
      </w:r>
      <w:proofErr w:type="spellStart"/>
      <w:r>
        <w:rPr>
          <w:rFonts w:ascii="Times New Roman" w:hAnsi="Times New Roman" w:cs="Times New Roman"/>
          <w:sz w:val="24"/>
          <w:szCs w:val="24"/>
        </w:rPr>
        <w:t>Σγουρίτσα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Β. (2023) </w:t>
      </w:r>
      <w:r w:rsidRPr="007C1B44">
        <w:rPr>
          <w:rFonts w:ascii="Times New Roman" w:hAnsi="Times New Roman" w:cs="Times New Roman"/>
          <w:i/>
          <w:sz w:val="24"/>
          <w:szCs w:val="24"/>
        </w:rPr>
        <w:t>Βιολογία Ομάδας Προσανατολισμού Θετικών Σπουδών &amp; Σπουδών Υγείας Γ’ τάξης Γενικού Λυκείου Τεύχος Β΄</w:t>
      </w:r>
      <w:r>
        <w:rPr>
          <w:rFonts w:ascii="Times New Roman" w:hAnsi="Times New Roman" w:cs="Times New Roman"/>
          <w:sz w:val="24"/>
          <w:szCs w:val="24"/>
        </w:rPr>
        <w:t>. Αθήνα: ΙΤΥΕ – ΔΙΟΦΑΝΤΟΣ</w:t>
      </w:r>
    </w:p>
    <w:p w:rsidR="00962743" w:rsidRPr="006F766F" w:rsidRDefault="00962743" w:rsidP="0096274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268D">
        <w:rPr>
          <w:rFonts w:ascii="Times New Roman" w:hAnsi="Times New Roman" w:cs="Times New Roman"/>
          <w:sz w:val="24"/>
          <w:szCs w:val="24"/>
        </w:rPr>
        <w:t>Ματσαγγούρας</w:t>
      </w:r>
      <w:proofErr w:type="spellEnd"/>
      <w:r w:rsidRPr="0099268D">
        <w:rPr>
          <w:rFonts w:ascii="Times New Roman" w:hAnsi="Times New Roman" w:cs="Times New Roman"/>
          <w:sz w:val="24"/>
          <w:szCs w:val="24"/>
        </w:rPr>
        <w:t xml:space="preserve">, Η. (2000). </w:t>
      </w:r>
      <w:proofErr w:type="spellStart"/>
      <w:r w:rsidRPr="0099268D">
        <w:rPr>
          <w:rFonts w:ascii="Times New Roman" w:hAnsi="Times New Roman" w:cs="Times New Roman"/>
          <w:i/>
          <w:sz w:val="24"/>
          <w:szCs w:val="24"/>
        </w:rPr>
        <w:t>Ομαδοσυνεργατική</w:t>
      </w:r>
      <w:proofErr w:type="spellEnd"/>
      <w:r w:rsidRPr="0099268D">
        <w:rPr>
          <w:rFonts w:ascii="Times New Roman" w:hAnsi="Times New Roman" w:cs="Times New Roman"/>
          <w:i/>
          <w:sz w:val="24"/>
          <w:szCs w:val="24"/>
        </w:rPr>
        <w:t xml:space="preserve"> διδασκαλία και μάθηση</w:t>
      </w:r>
      <w:r w:rsidRPr="0099268D">
        <w:rPr>
          <w:rFonts w:ascii="Times New Roman" w:hAnsi="Times New Roman" w:cs="Times New Roman"/>
          <w:sz w:val="24"/>
          <w:szCs w:val="24"/>
        </w:rPr>
        <w:t xml:space="preserve">. Αθήνα: </w:t>
      </w:r>
      <w:r>
        <w:rPr>
          <w:rFonts w:ascii="Times New Roman" w:hAnsi="Times New Roman" w:cs="Times New Roman"/>
          <w:sz w:val="24"/>
          <w:szCs w:val="24"/>
        </w:rPr>
        <w:t>Εκδόσεις Γρηγόρη</w:t>
      </w:r>
    </w:p>
    <w:p w:rsidR="00962743" w:rsidRDefault="00962743" w:rsidP="00E733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</w:p>
    <w:p w:rsidR="00991329" w:rsidRDefault="00991329" w:rsidP="00E733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</w:p>
    <w:p w:rsidR="00962743" w:rsidRDefault="007A215B" w:rsidP="007A215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5B">
        <w:rPr>
          <w:rFonts w:ascii="Times New Roman" w:hAnsi="Times New Roman" w:cs="Times New Roman"/>
          <w:sz w:val="24"/>
          <w:szCs w:val="24"/>
        </w:rPr>
        <w:t>Duckett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, J. (2011). HTML and CSS: Design and build websites.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John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Wiley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 &amp; Sons.</w:t>
      </w:r>
    </w:p>
    <w:p w:rsidR="007A215B" w:rsidRDefault="007A215B" w:rsidP="007A215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5B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. (2026).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Gemini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 (Έκδοση Οκτώβριος 2026) [</w:t>
      </w:r>
      <w:r>
        <w:rPr>
          <w:rFonts w:ascii="Times New Roman" w:hAnsi="Times New Roman" w:cs="Times New Roman"/>
          <w:sz w:val="24"/>
          <w:szCs w:val="24"/>
          <w:lang w:val="en-US"/>
        </w:rPr>
        <w:t>LLM</w:t>
      </w:r>
      <w:r w:rsidRPr="007A215B">
        <w:rPr>
          <w:rFonts w:ascii="Times New Roman" w:hAnsi="Times New Roman" w:cs="Times New Roman"/>
          <w:sz w:val="24"/>
          <w:szCs w:val="24"/>
        </w:rPr>
        <w:t xml:space="preserve">, </w:t>
      </w:r>
      <w:r w:rsidRPr="007A215B">
        <w:rPr>
          <w:rFonts w:ascii="Times New Roman" w:hAnsi="Times New Roman" w:cs="Times New Roman"/>
          <w:sz w:val="24"/>
          <w:szCs w:val="24"/>
        </w:rPr>
        <w:t xml:space="preserve">Μεγάλο γλωσσικό μοντέλο]. </w:t>
      </w:r>
      <w:hyperlink r:id="rId9" w:tgtFrame="_blank" w:history="1">
        <w:r w:rsidRPr="007A215B">
          <w:rPr>
            <w:rFonts w:ascii="Times New Roman" w:hAnsi="Times New Roman" w:cs="Times New Roman"/>
            <w:sz w:val="24"/>
            <w:szCs w:val="24"/>
          </w:rPr>
          <w:t>https://gemini.google.com</w:t>
        </w:r>
      </w:hyperlink>
    </w:p>
    <w:p w:rsidR="007A215B" w:rsidRPr="007A215B" w:rsidRDefault="007A215B" w:rsidP="007A215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A215B">
        <w:rPr>
          <w:rFonts w:ascii="Times New Roman" w:hAnsi="Times New Roman" w:cs="Times New Roman"/>
          <w:sz w:val="24"/>
          <w:szCs w:val="24"/>
        </w:rPr>
        <w:t xml:space="preserve">Robbins, J. N. (2018). Learning web design: A beginner's guide to HTML, CSS, JavaScript, and web graphics (5th ed.).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O'Reilly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15B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7A215B">
        <w:rPr>
          <w:rFonts w:ascii="Times New Roman" w:hAnsi="Times New Roman" w:cs="Times New Roman"/>
          <w:sz w:val="24"/>
          <w:szCs w:val="24"/>
        </w:rPr>
        <w:t>.</w:t>
      </w:r>
    </w:p>
    <w:p w:rsidR="00B00EB1" w:rsidRPr="00B00EB1" w:rsidRDefault="00B00EB1" w:rsidP="00B00EB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el-GR"/>
        </w:rPr>
      </w:pPr>
    </w:p>
    <w:sectPr w:rsidR="00B00EB1" w:rsidRPr="00B00EB1" w:rsidSect="00400FB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733E2"/>
    <w:multiLevelType w:val="multilevel"/>
    <w:tmpl w:val="5172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348B2"/>
    <w:multiLevelType w:val="multilevel"/>
    <w:tmpl w:val="334C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3100A9"/>
    <w:multiLevelType w:val="multilevel"/>
    <w:tmpl w:val="EB74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8E"/>
    <w:rsid w:val="0011058E"/>
    <w:rsid w:val="00214B58"/>
    <w:rsid w:val="002B7585"/>
    <w:rsid w:val="00400FBA"/>
    <w:rsid w:val="00561363"/>
    <w:rsid w:val="00631729"/>
    <w:rsid w:val="006D54D6"/>
    <w:rsid w:val="007361C2"/>
    <w:rsid w:val="007A215B"/>
    <w:rsid w:val="00827E56"/>
    <w:rsid w:val="00962743"/>
    <w:rsid w:val="00991329"/>
    <w:rsid w:val="00AC6C5C"/>
    <w:rsid w:val="00B00EB1"/>
    <w:rsid w:val="00B14658"/>
    <w:rsid w:val="00B608E1"/>
    <w:rsid w:val="00B95662"/>
    <w:rsid w:val="00D8079B"/>
    <w:rsid w:val="00DC031F"/>
    <w:rsid w:val="00E0009A"/>
    <w:rsid w:val="00E7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BB17"/>
  <w15:chartTrackingRefBased/>
  <w15:docId w15:val="{A31036E0-F863-40EC-9D4A-A1865B2C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110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11058E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HTML">
    <w:name w:val="HTML Code"/>
    <w:basedOn w:val="a0"/>
    <w:uiPriority w:val="99"/>
    <w:semiHidden/>
    <w:unhideWhenUsed/>
    <w:rsid w:val="0011058E"/>
    <w:rPr>
      <w:rFonts w:ascii="Courier New" w:eastAsia="Times New Roman" w:hAnsi="Courier New" w:cs="Courier New"/>
      <w:sz w:val="20"/>
      <w:szCs w:val="20"/>
    </w:rPr>
  </w:style>
  <w:style w:type="character" w:styleId="-">
    <w:name w:val="Hyperlink"/>
    <w:basedOn w:val="a0"/>
    <w:uiPriority w:val="99"/>
    <w:unhideWhenUsed/>
    <w:rsid w:val="00400FBA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DC0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7A2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samarast-svg.github.io/vgla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maras_t@yahoo.g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emini.google.co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F8DD4-F9DE-4FA9-BF8C-1C152BE4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750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2026-10-10T08:14:00Z</dcterms:created>
  <dcterms:modified xsi:type="dcterms:W3CDTF">2026-10-14T17:56:00Z</dcterms:modified>
</cp:coreProperties>
</file>